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B59" w:rsidRDefault="00D11D2E">
      <w:pPr>
        <w:pStyle w:val="TitoloDocumento"/>
        <w:tabs>
          <w:tab w:val="left" w:pos="3036"/>
        </w:tabs>
        <w:ind w:right="566"/>
        <w:jc w:val="center"/>
      </w:pPr>
      <w:r>
        <w:rPr>
          <w:noProof/>
        </w:rPr>
        <mc:AlternateContent>
          <mc:Choice Requires="wps">
            <w:drawing>
              <wp:anchor distT="0" distB="4445" distL="0" distR="0" simplePos="0" relativeHeight="4" behindDoc="0" locked="0" layoutInCell="1" allowOverlap="1" wp14:anchorId="2597E190">
                <wp:simplePos x="0" y="0"/>
                <wp:positionH relativeFrom="column">
                  <wp:posOffset>-78105</wp:posOffset>
                </wp:positionH>
                <wp:positionV relativeFrom="page">
                  <wp:posOffset>2149475</wp:posOffset>
                </wp:positionV>
                <wp:extent cx="903605" cy="262890"/>
                <wp:effectExtent l="0" t="0" r="0" b="4445"/>
                <wp:wrapNone/>
                <wp:docPr id="1" name="Casella di testo 6"/>
                <wp:cNvGraphicFramePr/>
                <a:graphic xmlns:a="http://schemas.openxmlformats.org/drawingml/2006/main">
                  <a:graphicData uri="http://schemas.microsoft.com/office/word/2010/wordprocessingShape">
                    <wps:wsp>
                      <wps:cNvSpPr/>
                      <wps:spPr>
                        <a:xfrm>
                          <a:off x="0" y="0"/>
                          <a:ext cx="903600" cy="262800"/>
                        </a:xfrm>
                        <a:prstGeom prst="rect">
                          <a:avLst/>
                        </a:prstGeom>
                        <a:solidFill>
                          <a:schemeClr val="bg1"/>
                        </a:solidFill>
                        <a:ln w="6350">
                          <a:noFill/>
                        </a:ln>
                      </wps:spPr>
                      <wps:style>
                        <a:lnRef idx="0">
                          <a:scrgbClr r="0" g="0" b="0"/>
                        </a:lnRef>
                        <a:fillRef idx="0">
                          <a:scrgbClr r="0" g="0" b="0"/>
                        </a:fillRef>
                        <a:effectRef idx="0">
                          <a:scrgbClr r="0" g="0" b="0"/>
                        </a:effectRef>
                        <a:fontRef idx="minor"/>
                      </wps:style>
                      <wps:txbx>
                        <w:txbxContent>
                          <w:p w:rsidR="00594B59" w:rsidRDefault="00594B59">
                            <w:pPr>
                              <w:pStyle w:val="TipoDocumento"/>
                            </w:pPr>
                          </w:p>
                        </w:txbxContent>
                      </wps:txbx>
                      <wps:bodyPr anchor="ctr">
                        <a:prstTxWarp prst="textNoShape">
                          <a:avLst/>
                        </a:prstTxWarp>
                        <a:noAutofit/>
                      </wps:bodyPr>
                    </wps:wsp>
                  </a:graphicData>
                </a:graphic>
              </wp:anchor>
            </w:drawing>
          </mc:Choice>
          <mc:Fallback>
            <w:pict>
              <v:rect w14:anchorId="2597E190" id="Casella di testo 6" o:spid="_x0000_s1026" style="position:absolute;left:0;text-align:left;margin-left:-6.15pt;margin-top:169.25pt;width:71.15pt;height:20.7pt;z-index:4;visibility:visible;mso-wrap-style:square;mso-wrap-distance-left:0;mso-wrap-distance-top:0;mso-wrap-distance-right:0;mso-wrap-distance-bottom:.35pt;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" fillcolor="white [3212]" stroked="f" strokeweight=".5pt">
                <v:textbox>
                  <w:txbxContent>
                    <w:p w:rsidR="00594B59" w:rsidRDefault="00594B59">
                      <w:pPr>
                        <w:pStyle w:val="TipoDocumento"/>
                      </w:pPr>
                    </w:p>
                  </w:txbxContent>
                </v:textbox>
                <w10:wrap anchory="page"/>
              </v:rect>
            </w:pict>
          </mc:Fallback>
        </mc:AlternateContent>
      </w:r>
      <w:r>
        <w:rPr>
          <w:noProof/>
        </w:rPr>
        <mc:AlternateContent>
          <mc:Choice Requires="wps">
            <w:drawing>
              <wp:anchor distT="0" distB="4445" distL="0" distR="0" simplePos="0" relativeHeight="6" behindDoc="0" locked="0" layoutInCell="1" allowOverlap="1" wp14:anchorId="6D7F1B5D">
                <wp:simplePos x="0" y="0"/>
                <wp:positionH relativeFrom="column">
                  <wp:posOffset>-1780540</wp:posOffset>
                </wp:positionH>
                <wp:positionV relativeFrom="page">
                  <wp:posOffset>2147570</wp:posOffset>
                </wp:positionV>
                <wp:extent cx="1791970" cy="262890"/>
                <wp:effectExtent l="0" t="0" r="0" b="4445"/>
                <wp:wrapNone/>
                <wp:docPr id="2" name="Casella di testo 9"/>
                <wp:cNvGraphicFramePr/>
                <a:graphic xmlns:a="http://schemas.openxmlformats.org/drawingml/2006/main">
                  <a:graphicData uri="http://schemas.microsoft.com/office/word/2010/wordprocessingShape">
                    <wps:wsp>
                      <wps:cNvSpPr/>
                      <wps:spPr>
                        <a:xfrm>
                          <a:off x="0" y="0"/>
                          <a:ext cx="1792080" cy="262800"/>
                        </a:xfrm>
                        <a:prstGeom prst="rect">
                          <a:avLst/>
                        </a:prstGeom>
                        <a:solidFill>
                          <a:schemeClr val="bg1"/>
                        </a:solidFill>
                        <a:ln w="6350">
                          <a:noFill/>
                        </a:ln>
                      </wps:spPr>
                      <wps:style>
                        <a:lnRef idx="0">
                          <a:scrgbClr r="0" g="0" b="0"/>
                        </a:lnRef>
                        <a:fillRef idx="0">
                          <a:scrgbClr r="0" g="0" b="0"/>
                        </a:fillRef>
                        <a:effectRef idx="0">
                          <a:scrgbClr r="0" g="0" b="0"/>
                        </a:effectRef>
                        <a:fontRef idx="minor"/>
                      </wps:style>
                      <wps:txbx>
                        <w:txbxContent>
                          <w:p w:rsidR="00594B59" w:rsidRDefault="00594B59">
                            <w:pPr>
                              <w:pStyle w:val="TipoDocumento"/>
                            </w:pPr>
                          </w:p>
                        </w:txbxContent>
                      </wps:txbx>
                      <wps:bodyPr anchor="ctr">
                        <a:prstTxWarp prst="textNoShape">
                          <a:avLst/>
                        </a:prstTxWarp>
                        <a:noAutofit/>
                      </wps:bodyPr>
                    </wps:wsp>
                  </a:graphicData>
                </a:graphic>
              </wp:anchor>
            </w:drawing>
          </mc:Choice>
          <mc:Fallback>
            <w:pict>
              <v:rect w14:anchorId="6D7F1B5D" id="Casella di testo 9" o:spid="_x0000_s1027" style="position:absolute;left:0;text-align:left;margin-left:-140.2pt;margin-top:169.1pt;width:141.1pt;height:20.7pt;z-index:6;visibility:visible;mso-wrap-style:square;mso-wrap-distance-left:0;mso-wrap-distance-top:0;mso-wrap-distance-right:0;mso-wrap-distance-bottom:.35pt;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" fillcolor="white [3212]" stroked="f" strokeweight=".5pt">
                <v:textbox>
                  <w:txbxContent>
                    <w:p w:rsidR="00594B59" w:rsidRDefault="00594B59">
                      <w:pPr>
                        <w:pStyle w:val="TipoDocumento"/>
                      </w:pPr>
                    </w:p>
                  </w:txbxContent>
                </v:textbox>
                <w10:wrap anchory="page"/>
              </v:rect>
            </w:pict>
          </mc:Fallback>
        </mc:AlternateContent>
      </w:r>
      <w:r>
        <w:softHyphen/>
      </w:r>
      <w:r>
        <w:softHyphen/>
      </w:r>
      <w:r>
        <w:softHyphen/>
      </w:r>
      <w:r>
        <w:tab/>
      </w:r>
      <w:r>
        <w:rPr>
          <w:sz w:val="48"/>
          <w:szCs w:val="48"/>
        </w:rPr>
        <w:br/>
      </w:r>
      <w:r>
        <w:rPr>
          <w:noProof/>
        </w:rPr>
        <w:drawing>
          <wp:inline distT="0" distB="0" distL="0" distR="0">
            <wp:extent cx="1967230" cy="2544445"/>
            <wp:effectExtent l="0" t="0" r="0" b="0"/>
            <wp:docPr id="3"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magine 1"/>
                    <pic:cNvPicPr>
                      <a:picLocks noChangeAspect="1" noChangeArrowheads="1"/>
                    </pic:cNvPicPr>
                  </pic:nvPicPr>
                  <pic:blipFill>
                    <a:blip r:embed="rId11"/>
                    <a:stretch>
                      <a:fillRect/>
                    </a:stretch>
                  </pic:blipFill>
                  <pic:spPr bwMode="auto">
                    <a:xfrm>
                      <a:off x="0" y="0"/>
                      <a:ext cx="1967230" cy="2544445"/>
                    </a:xfrm>
                    <a:prstGeom prst="rect">
                      <a:avLst/>
                    </a:prstGeom>
                    <a:noFill/>
                  </pic:spPr>
                </pic:pic>
              </a:graphicData>
            </a:graphic>
          </wp:inline>
        </w:drawing>
      </w:r>
    </w:p>
    <w:p w:rsidR="00594B59" w:rsidRDefault="00594B59">
      <w:pPr>
        <w:pStyle w:val="TitoloDocumento"/>
        <w:tabs>
          <w:tab w:val="left" w:pos="3036"/>
        </w:tabs>
        <w:ind w:right="566"/>
        <w:jc w:val="center"/>
        <w:rPr>
          <w:sz w:val="48"/>
          <w:szCs w:val="48"/>
        </w:rPr>
      </w:pPr>
    </w:p>
    <w:p w:rsidR="00594B59" w:rsidRDefault="00594B59">
      <w:pPr>
        <w:pStyle w:val="TitoloDocumento"/>
        <w:tabs>
          <w:tab w:val="left" w:pos="3036"/>
        </w:tabs>
        <w:ind w:right="566"/>
        <w:jc w:val="center"/>
        <w:rPr>
          <w:sz w:val="48"/>
          <w:szCs w:val="48"/>
        </w:rPr>
      </w:pPr>
    </w:p>
    <w:p w:rsidR="00594B59" w:rsidRDefault="00D11D2E">
      <w:pPr>
        <w:spacing w:line="276" w:lineRule="auto"/>
        <w:jc w:val="center"/>
        <w:rPr>
          <w:rFonts w:eastAsia="Times New Roman" w:cstheme="minorHAnsi"/>
          <w:smallCaps/>
          <w:sz w:val="36"/>
          <w:szCs w:val="20"/>
          <w:lang w:eastAsia="it-IT"/>
        </w:rPr>
      </w:pPr>
      <w:r>
        <w:rPr>
          <w:rFonts w:eastAsia="Times New Roman" w:cstheme="minorHAnsi"/>
          <w:smallCaps/>
          <w:sz w:val="36"/>
          <w:szCs w:val="20"/>
          <w:lang w:eastAsia="it-IT"/>
        </w:rPr>
        <w:t>COMUNE DI SAN DONATO MILANESE</w:t>
      </w:r>
    </w:p>
    <w:p w:rsidR="00594B59" w:rsidRDefault="00D11D2E">
      <w:pPr>
        <w:spacing w:line="276" w:lineRule="auto"/>
        <w:jc w:val="center"/>
        <w:rPr>
          <w:rFonts w:eastAsia="Times New Roman" w:cstheme="minorHAnsi"/>
          <w:smallCaps/>
          <w:sz w:val="36"/>
          <w:szCs w:val="20"/>
          <w:lang w:eastAsia="it-IT"/>
        </w:rPr>
      </w:pPr>
      <w:proofErr w:type="spellStart"/>
      <w:r>
        <w:rPr>
          <w:rFonts w:eastAsia="Times New Roman" w:cstheme="minorHAnsi"/>
          <w:smallCaps/>
          <w:sz w:val="36"/>
          <w:szCs w:val="20"/>
          <w:lang w:eastAsia="it-IT"/>
        </w:rPr>
        <w:t>citta’</w:t>
      </w:r>
      <w:proofErr w:type="spellEnd"/>
      <w:r>
        <w:rPr>
          <w:rFonts w:eastAsia="Times New Roman" w:cstheme="minorHAnsi"/>
          <w:smallCaps/>
          <w:sz w:val="36"/>
          <w:szCs w:val="20"/>
          <w:lang w:eastAsia="it-IT"/>
        </w:rPr>
        <w:t xml:space="preserve"> metropolitana di </w:t>
      </w:r>
      <w:proofErr w:type="spellStart"/>
      <w:r>
        <w:rPr>
          <w:rFonts w:eastAsia="Times New Roman" w:cstheme="minorHAnsi"/>
          <w:smallCaps/>
          <w:sz w:val="36"/>
          <w:szCs w:val="20"/>
          <w:lang w:eastAsia="it-IT"/>
        </w:rPr>
        <w:t>milano</w:t>
      </w:r>
      <w:proofErr w:type="spellEnd"/>
    </w:p>
    <w:p w:rsidR="00594B59" w:rsidRDefault="00594B59">
      <w:pPr>
        <w:spacing w:line="276" w:lineRule="auto"/>
        <w:jc w:val="center"/>
        <w:rPr>
          <w:rFonts w:eastAsia="Times New Roman" w:cstheme="minorHAnsi"/>
          <w:b/>
          <w:i/>
          <w:color w:val="00B0F0"/>
        </w:rPr>
      </w:pPr>
    </w:p>
    <w:p w:rsidR="00594B59" w:rsidRDefault="00594B59">
      <w:pPr>
        <w:spacing w:line="276" w:lineRule="auto"/>
        <w:jc w:val="center"/>
        <w:rPr>
          <w:rFonts w:eastAsia="Times New Roman" w:cstheme="minorHAnsi"/>
          <w:b/>
          <w:i/>
          <w:color w:val="00B0F0"/>
        </w:rPr>
      </w:pPr>
    </w:p>
    <w:p w:rsidR="00594B59" w:rsidRDefault="00D11D2E">
      <w:pPr>
        <w:tabs>
          <w:tab w:val="left" w:pos="0"/>
          <w:tab w:val="left" w:pos="1418"/>
          <w:tab w:val="left" w:pos="2835"/>
          <w:tab w:val="left" w:pos="4252"/>
        </w:tabs>
        <w:spacing w:before="220" w:after="0" w:line="25" w:lineRule="atLeast"/>
        <w:jc w:val="center"/>
        <w:rPr>
          <w:rFonts w:eastAsia="Times New Roman" w:cstheme="minorHAnsi"/>
          <w:smallCaps/>
          <w:sz w:val="36"/>
          <w:szCs w:val="20"/>
          <w:lang w:eastAsia="it-IT"/>
        </w:rPr>
      </w:pPr>
      <w:r>
        <w:rPr>
          <w:rFonts w:eastAsia="Times New Roman" w:cstheme="minorHAnsi"/>
          <w:smallCaps/>
          <w:sz w:val="36"/>
          <w:szCs w:val="20"/>
          <w:lang w:eastAsia="it-IT"/>
        </w:rPr>
        <w:t>RELAZIONE DELL’ORGANO DI REVISIONE SULLA PROPOSTA DI DELIBERAZIONE CONSILIARE E SULLO SCHEMA DI BILANCIO CONSOLIDATO 2024</w:t>
      </w:r>
    </w:p>
    <w:p w:rsidR="00594B59" w:rsidRDefault="00594B59">
      <w:pPr>
        <w:spacing w:line="276" w:lineRule="auto"/>
        <w:jc w:val="center"/>
        <w:rPr>
          <w:rFonts w:eastAsia="Times New Roman" w:cstheme="minorHAnsi"/>
          <w:b/>
          <w:i/>
        </w:rPr>
      </w:pPr>
    </w:p>
    <w:p w:rsidR="00594B59" w:rsidRDefault="00594B59">
      <w:pPr>
        <w:spacing w:line="276" w:lineRule="auto"/>
        <w:jc w:val="center"/>
        <w:rPr>
          <w:rFonts w:eastAsia="Times New Roman" w:cstheme="minorHAnsi"/>
          <w:b/>
          <w:i/>
        </w:rPr>
      </w:pPr>
    </w:p>
    <w:p w:rsidR="00594B59" w:rsidRDefault="00D11D2E">
      <w:pPr>
        <w:spacing w:line="276" w:lineRule="auto"/>
        <w:jc w:val="center"/>
        <w:rPr>
          <w:rFonts w:eastAsia="Times New Roman" w:cstheme="minorHAnsi"/>
          <w:b/>
          <w:i/>
        </w:rPr>
      </w:pPr>
      <w:r>
        <w:rPr>
          <w:rFonts w:eastAsia="Times New Roman" w:cstheme="minorHAnsi"/>
          <w:b/>
          <w:i/>
        </w:rPr>
        <w:t>L’Organo di Revisione</w:t>
      </w:r>
    </w:p>
    <w:p w:rsidR="00594B59" w:rsidRDefault="00D11D2E">
      <w:pPr>
        <w:spacing w:after="0" w:line="240" w:lineRule="auto"/>
        <w:rPr>
          <w:rFonts w:cs="Calibri"/>
          <w:b/>
          <w:bCs/>
          <w:i/>
          <w:iCs/>
          <w:sz w:val="24"/>
          <w:szCs w:val="24"/>
        </w:rPr>
      </w:pPr>
      <w:r>
        <w:rPr>
          <w:rFonts w:cs="Calibri"/>
          <w:b/>
          <w:bCs/>
          <w:i/>
          <w:iCs/>
          <w:sz w:val="24"/>
          <w:szCs w:val="24"/>
        </w:rPr>
        <w:t xml:space="preserve">                                                        Maurizio Quaranta - Presidente</w:t>
      </w:r>
    </w:p>
    <w:p w:rsidR="00594B59" w:rsidRDefault="00D11D2E">
      <w:pPr>
        <w:spacing w:after="0" w:line="240" w:lineRule="auto"/>
        <w:rPr>
          <w:rFonts w:cs="Calibri"/>
          <w:b/>
          <w:bCs/>
          <w:i/>
          <w:iCs/>
          <w:sz w:val="24"/>
          <w:szCs w:val="24"/>
        </w:rPr>
      </w:pPr>
      <w:r>
        <w:rPr>
          <w:rFonts w:cs="Calibri"/>
          <w:b/>
          <w:bCs/>
          <w:i/>
          <w:iCs/>
          <w:sz w:val="24"/>
          <w:szCs w:val="24"/>
        </w:rPr>
        <w:t xml:space="preserve">                                                        Massimo </w:t>
      </w:r>
      <w:proofErr w:type="spellStart"/>
      <w:r>
        <w:rPr>
          <w:rFonts w:cs="Calibri"/>
          <w:b/>
          <w:bCs/>
          <w:i/>
          <w:iCs/>
          <w:sz w:val="24"/>
          <w:szCs w:val="24"/>
        </w:rPr>
        <w:t>Ostoni</w:t>
      </w:r>
      <w:proofErr w:type="spellEnd"/>
      <w:r>
        <w:rPr>
          <w:rFonts w:cs="Calibri"/>
          <w:b/>
          <w:bCs/>
          <w:i/>
          <w:iCs/>
          <w:sz w:val="24"/>
          <w:szCs w:val="24"/>
        </w:rPr>
        <w:t xml:space="preserve"> - Componente</w:t>
      </w:r>
    </w:p>
    <w:p w:rsidR="00594B59" w:rsidRDefault="00D11D2E">
      <w:pPr>
        <w:spacing w:line="276" w:lineRule="auto"/>
        <w:ind w:firstLine="708"/>
        <w:rPr>
          <w:rFonts w:eastAsia="Times New Roman" w:cs="Calibri"/>
          <w:b/>
          <w:i/>
        </w:rPr>
      </w:pPr>
      <w:r>
        <w:rPr>
          <w:rFonts w:cs="Calibri"/>
          <w:b/>
          <w:bCs/>
          <w:i/>
          <w:iCs/>
          <w:sz w:val="24"/>
          <w:szCs w:val="24"/>
        </w:rPr>
        <w:t xml:space="preserve">                                           Gabriele Colombo - Componente</w:t>
      </w:r>
    </w:p>
    <w:p w:rsidR="00594B59" w:rsidRDefault="00594B59">
      <w:pPr>
        <w:spacing w:line="276" w:lineRule="auto"/>
        <w:jc w:val="center"/>
        <w:rPr>
          <w:rFonts w:eastAsia="Times New Roman" w:cstheme="minorHAnsi"/>
          <w:b/>
          <w:i/>
        </w:rPr>
      </w:pPr>
    </w:p>
    <w:p w:rsidR="00594B59" w:rsidRDefault="00594B59">
      <w:pPr>
        <w:spacing w:line="360" w:lineRule="auto"/>
        <w:rPr>
          <w:rFonts w:ascii="Arial" w:hAnsi="Arial" w:cs="Arial"/>
        </w:rPr>
      </w:pPr>
    </w:p>
    <w:p w:rsidR="00594B59" w:rsidRDefault="00D11D2E">
      <w:pPr>
        <w:pStyle w:val="TitoloDocumento"/>
        <w:tabs>
          <w:tab w:val="left" w:pos="3036"/>
        </w:tabs>
        <w:ind w:right="566"/>
        <w:jc w:val="center"/>
        <w:rPr>
          <w:sz w:val="60"/>
          <w:szCs w:val="60"/>
        </w:rPr>
      </w:pPr>
      <w:r>
        <w:rPr>
          <w:rFonts w:ascii="Arial" w:hAnsi="Arial" w:cs="Arial"/>
        </w:rPr>
        <w:lastRenderedPageBreak/>
        <w:t xml:space="preserve">Gabriele </w:t>
      </w:r>
      <w:r>
        <w:rPr>
          <w:rFonts w:ascii="Arial" w:hAnsi="Arial" w:cs="Arial"/>
        </w:rPr>
        <w:t>Colombo - componente</w:t>
      </w:r>
      <w:r>
        <w:rPr>
          <w:sz w:val="48"/>
          <w:szCs w:val="48"/>
        </w:rPr>
        <w:br/>
      </w:r>
      <w:r>
        <w:rPr>
          <w:sz w:val="48"/>
          <w:szCs w:val="48"/>
        </w:rPr>
        <w:br/>
      </w:r>
      <w:r>
        <w:rPr>
          <w:sz w:val="48"/>
          <w:szCs w:val="48"/>
        </w:rPr>
        <w:br/>
      </w:r>
    </w:p>
    <w:p w:rsidR="00594B59" w:rsidRDefault="00594B59">
      <w:pPr>
        <w:pStyle w:val="TitoloDocumento"/>
        <w:tabs>
          <w:tab w:val="left" w:pos="3036"/>
        </w:tabs>
        <w:ind w:right="566"/>
        <w:rPr>
          <w:sz w:val="60"/>
          <w:szCs w:val="60"/>
        </w:rPr>
      </w:pPr>
    </w:p>
    <w:p w:rsidR="00594B59" w:rsidRDefault="00D11D2E">
      <w:pPr>
        <w:pStyle w:val="TitoloDocumento"/>
        <w:ind w:right="2267"/>
        <w:jc w:val="left"/>
        <w:rPr>
          <w:b w:val="0"/>
          <w:bCs/>
          <w:color w:val="C00000"/>
          <w:sz w:val="32"/>
          <w:szCs w:val="28"/>
        </w:rPr>
      </w:pPr>
      <w:r>
        <w:rPr>
          <w:noProof/>
        </w:rPr>
        <w:drawing>
          <wp:anchor distT="0" distB="8255" distL="0" distR="8890" simplePos="0" relativeHeight="3" behindDoc="1" locked="0" layoutInCell="1" allowOverlap="1" wp14:anchorId="742A3C03">
            <wp:simplePos x="0" y="0"/>
            <wp:positionH relativeFrom="column">
              <wp:posOffset>-900430</wp:posOffset>
            </wp:positionH>
            <wp:positionV relativeFrom="paragraph">
              <wp:posOffset>5080</wp:posOffset>
            </wp:positionV>
            <wp:extent cx="6315710" cy="7973695"/>
            <wp:effectExtent l="0" t="0" r="0" b="0"/>
            <wp:wrapNone/>
            <wp:docPr id="4" name="Immagine 26"/>
            <wp:cNvGraphicFramePr/>
            <a:graphic xmlns:a="http://schemas.openxmlformats.org/drawingml/2006/main">
              <a:graphicData uri="http://schemas.openxmlformats.org/drawingml/2006/picture">
                <pic:pic xmlns:pic="http://schemas.openxmlformats.org/drawingml/2006/picture">
                  <pic:nvPicPr>
                    <pic:cNvPr id="5" name="Immagine 26"/>
                    <pic:cNvPicPr/>
                  </pic:nvPicPr>
                  <pic:blipFill>
                    <a:blip r:embed="rId12">
                      <a:alphaModFix amt="20000"/>
                      <a:extLst>
                        <a:ext uri="{BEBA8EAE-BF5A-486C-A8C5-ECC9F3942E4B}">
                          <a14:imgProps xmlns:a14="http://schemas.microsoft.com/office/drawing/2010/main">
                            <a14:imgLayer r:embed="rId13">
                              <a14:imgEffect>
                                <a14:brightnessContrast bright="80000" contrast="-33000"/>
                              </a14:imgEffect>
                            </a14:imgLayer>
                          </a14:imgProps>
                        </a:ext>
                      </a:extLst>
                    </a:blip>
                    <a:stretch/>
                  </pic:blipFill>
                  <pic:spPr>
                    <a:xfrm>
                      <a:off x="0" y="0"/>
                      <a:ext cx="6315710" cy="7973695"/>
                    </a:xfrm>
                    <a:prstGeom prst="rect">
                      <a:avLst/>
                    </a:prstGeom>
                    <a:noFill/>
                    <a:ln w="0">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0" distR="0" simplePos="0" relativeHeight="8" behindDoc="0" locked="0" layoutInCell="1" allowOverlap="1" wp14:anchorId="6D648412">
                <wp:simplePos x="0" y="0"/>
                <wp:positionH relativeFrom="column">
                  <wp:posOffset>595630</wp:posOffset>
                </wp:positionH>
                <wp:positionV relativeFrom="page">
                  <wp:posOffset>8213725</wp:posOffset>
                </wp:positionV>
                <wp:extent cx="1800225" cy="233045"/>
                <wp:effectExtent l="0" t="0" r="0" b="0"/>
                <wp:wrapNone/>
                <wp:docPr id="6" name="Casella di testo 18"/>
                <wp:cNvGraphicFramePr/>
                <a:graphic xmlns:a="http://schemas.openxmlformats.org/drawingml/2006/main">
                  <a:graphicData uri="http://schemas.microsoft.com/office/word/2010/wordprocessingShape">
                    <wps:wsp>
                      <wps:cNvSpPr/>
                      <wps:spPr>
                        <a:xfrm>
                          <a:off x="0" y="0"/>
                          <a:ext cx="1800360" cy="232920"/>
                        </a:xfrm>
                        <a:prstGeom prst="rect">
                          <a:avLst/>
                        </a:prstGeom>
                        <a:solidFill>
                          <a:schemeClr val="bg1"/>
                        </a:solidFill>
                        <a:ln w="6350">
                          <a:noFill/>
                        </a:ln>
                      </wps:spPr>
                      <wps:style>
                        <a:lnRef idx="0">
                          <a:scrgbClr r="0" g="0" b="0"/>
                        </a:lnRef>
                        <a:fillRef idx="0">
                          <a:scrgbClr r="0" g="0" b="0"/>
                        </a:fillRef>
                        <a:effectRef idx="0">
                          <a:scrgbClr r="0" g="0" b="0"/>
                        </a:effectRef>
                        <a:fontRef idx="minor"/>
                      </wps:style>
                      <wps:txbx>
                        <w:txbxContent>
                          <w:p w:rsidR="00594B59" w:rsidRDefault="00594B59">
                            <w:pPr>
                              <w:pStyle w:val="TipoDocumento"/>
                              <w:spacing w:after="0"/>
                            </w:pPr>
                          </w:p>
                        </w:txbxContent>
                      </wps:txbx>
                      <wps:bodyPr anchor="ctr">
                        <a:prstTxWarp prst="textNoShape">
                          <a:avLst/>
                        </a:prstTxWarp>
                        <a:noAutofit/>
                      </wps:bodyPr>
                    </wps:wsp>
                  </a:graphicData>
                </a:graphic>
              </wp:anchor>
            </w:drawing>
          </mc:Choice>
          <mc:Fallback>
            <w:pict>
              <v:rect w14:anchorId="6D648412" id="Casella di testo 18" o:spid="_x0000_s1028" style="position:absolute;margin-left:46.9pt;margin-top:646.75pt;width:141.75pt;height:18.35pt;z-index:8;visibility:visible;mso-wrap-style:square;mso-wrap-distance-left:0;mso-wrap-distance-top:0;mso-wrap-distance-right:0;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" fillcolor="white [3212]" stroked="f" strokeweight=".5pt">
                <v:textbox>
                  <w:txbxContent>
                    <w:p w:rsidR="00594B59" w:rsidRDefault="00594B59">
                      <w:pPr>
                        <w:pStyle w:val="TipoDocumento"/>
                        <w:spacing w:after="0"/>
                      </w:pPr>
                    </w:p>
                  </w:txbxContent>
                </v:textbox>
                <w10:wrap anchory="page"/>
              </v:rect>
            </w:pict>
          </mc:Fallback>
        </mc:AlternateContent>
      </w:r>
      <w:r>
        <w:rPr>
          <w:noProof/>
        </w:rPr>
        <mc:AlternateContent>
          <mc:Choice Requires="wps">
            <w:drawing>
              <wp:anchor distT="0" distB="0" distL="0" distR="0" simplePos="0" relativeHeight="10" behindDoc="0" locked="0" layoutInCell="1" allowOverlap="1" wp14:anchorId="587D327D">
                <wp:simplePos x="0" y="0"/>
                <wp:positionH relativeFrom="column">
                  <wp:posOffset>4880610</wp:posOffset>
                </wp:positionH>
                <wp:positionV relativeFrom="page">
                  <wp:posOffset>9153525</wp:posOffset>
                </wp:positionV>
                <wp:extent cx="1299845" cy="347345"/>
                <wp:effectExtent l="0" t="0" r="0" b="0"/>
                <wp:wrapNone/>
                <wp:docPr id="7" name="Casella di testo 20"/>
                <wp:cNvGraphicFramePr/>
                <a:graphic xmlns:a="http://schemas.openxmlformats.org/drawingml/2006/main">
                  <a:graphicData uri="http://schemas.microsoft.com/office/word/2010/wordprocessingShape">
                    <wps:wsp>
                      <wps:cNvSpPr/>
                      <wps:spPr>
                        <a:xfrm>
                          <a:off x="0" y="0"/>
                          <a:ext cx="1299960" cy="347400"/>
                        </a:xfrm>
                        <a:prstGeom prst="rect">
                          <a:avLst/>
                        </a:prstGeom>
                        <a:solidFill>
                          <a:schemeClr val="bg1"/>
                        </a:solidFill>
                        <a:ln w="6350">
                          <a:noFill/>
                        </a:ln>
                      </wps:spPr>
                      <wps:style>
                        <a:lnRef idx="0">
                          <a:scrgbClr r="0" g="0" b="0"/>
                        </a:lnRef>
                        <a:fillRef idx="0">
                          <a:scrgbClr r="0" g="0" b="0"/>
                        </a:fillRef>
                        <a:effectRef idx="0">
                          <a:scrgbClr r="0" g="0" b="0"/>
                        </a:effectRef>
                        <a:fontRef idx="minor"/>
                      </wps:style>
                      <wps:txbx>
                        <w:txbxContent>
                          <w:p w:rsidR="00594B59" w:rsidRDefault="00594B59">
                            <w:pPr>
                              <w:pStyle w:val="TipoDocumento"/>
                              <w:jc w:val="right"/>
                            </w:pPr>
                          </w:p>
                        </w:txbxContent>
                      </wps:txbx>
                      <wps:bodyPr anchor="ctr">
                        <a:prstTxWarp prst="textNoShape">
                          <a:avLst/>
                        </a:prstTxWarp>
                        <a:noAutofit/>
                      </wps:bodyPr>
                    </wps:wsp>
                  </a:graphicData>
                </a:graphic>
              </wp:anchor>
            </w:drawing>
          </mc:Choice>
          <mc:Fallback>
            <w:pict>
              <v:rect w14:anchorId="587D327D" id="Casella di testo 20" o:spid="_x0000_s1029" style="position:absolute;margin-left:384.3pt;margin-top:720.75pt;width:102.35pt;height:27.35pt;z-index:10;visibility:visible;mso-wrap-style:square;mso-wrap-distance-left:0;mso-wrap-distance-top:0;mso-wrap-distance-right:0;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" fillcolor="white [3212]" stroked="f" strokeweight=".5pt">
                <v:textbox>
                  <w:txbxContent>
                    <w:p w:rsidR="00594B59" w:rsidRDefault="00594B59">
                      <w:pPr>
                        <w:pStyle w:val="TipoDocumento"/>
                        <w:jc w:val="right"/>
                      </w:pPr>
                    </w:p>
                  </w:txbxContent>
                </v:textbox>
                <w10:wrap anchory="page"/>
              </v:rect>
            </w:pict>
          </mc:Fallback>
        </mc:AlternateContent>
      </w:r>
      <w:r>
        <w:rPr>
          <w:noProof/>
        </w:rPr>
        <mc:AlternateContent>
          <mc:Choice Requires="wps">
            <w:drawing>
              <wp:anchor distT="0" distB="0" distL="0" distR="0" simplePos="0" relativeHeight="12" behindDoc="0" locked="0" layoutInCell="1" allowOverlap="1" wp14:anchorId="2D458220">
                <wp:simplePos x="0" y="0"/>
                <wp:positionH relativeFrom="column">
                  <wp:posOffset>2598420</wp:posOffset>
                </wp:positionH>
                <wp:positionV relativeFrom="page">
                  <wp:posOffset>8208645</wp:posOffset>
                </wp:positionV>
                <wp:extent cx="1800225" cy="233045"/>
                <wp:effectExtent l="0" t="0" r="0" b="0"/>
                <wp:wrapNone/>
                <wp:docPr id="8" name="Casella di testo 303881397"/>
                <wp:cNvGraphicFramePr/>
                <a:graphic xmlns:a="http://schemas.openxmlformats.org/drawingml/2006/main">
                  <a:graphicData uri="http://schemas.microsoft.com/office/word/2010/wordprocessingShape">
                    <wps:wsp>
                      <wps:cNvSpPr/>
                      <wps:spPr>
                        <a:xfrm>
                          <a:off x="0" y="0"/>
                          <a:ext cx="1800360" cy="232920"/>
                        </a:xfrm>
                        <a:prstGeom prst="rect">
                          <a:avLst/>
                        </a:prstGeom>
                        <a:solidFill>
                          <a:schemeClr val="bg1"/>
                        </a:solidFill>
                        <a:ln w="6350">
                          <a:noFill/>
                        </a:ln>
                      </wps:spPr>
                      <wps:style>
                        <a:lnRef idx="0">
                          <a:scrgbClr r="0" g="0" b="0"/>
                        </a:lnRef>
                        <a:fillRef idx="0">
                          <a:scrgbClr r="0" g="0" b="0"/>
                        </a:fillRef>
                        <a:effectRef idx="0">
                          <a:scrgbClr r="0" g="0" b="0"/>
                        </a:effectRef>
                        <a:fontRef idx="minor"/>
                      </wps:style>
                      <wps:txbx>
                        <w:txbxContent>
                          <w:p w:rsidR="00594B59" w:rsidRDefault="00594B59">
                            <w:pPr>
                              <w:pStyle w:val="TipoDocumento"/>
                              <w:jc w:val="left"/>
                            </w:pPr>
                          </w:p>
                        </w:txbxContent>
                      </wps:txbx>
                      <wps:bodyPr anchor="ctr">
                        <a:prstTxWarp prst="textNoShape">
                          <a:avLst/>
                        </a:prstTxWarp>
                        <a:noAutofit/>
                      </wps:bodyPr>
                    </wps:wsp>
                  </a:graphicData>
                </a:graphic>
              </wp:anchor>
            </w:drawing>
          </mc:Choice>
          <mc:Fallback>
            <w:pict>
              <v:rect w14:anchorId="2D458220" id="Casella di testo 303881397" o:spid="_x0000_s1030" style="position:absolute;margin-left:204.6pt;margin-top:646.35pt;width:141.75pt;height:18.35pt;z-index:12;visibility:visible;mso-wrap-style:square;mso-wrap-distance-left:0;mso-wrap-distance-top:0;mso-wrap-distance-right:0;mso-wrap-distance-bottom:0;mso-position-horizontal:absolute;mso-position-horizontal-relative:text;mso-position-vertical:absolute;mso-position-vertical-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" fillcolor="white [3212]" stroked="f" strokeweight=".5pt">
                <v:textbox>
                  <w:txbxContent>
                    <w:p w:rsidR="00594B59" w:rsidRDefault="00594B59">
                      <w:pPr>
                        <w:pStyle w:val="TipoDocumento"/>
                        <w:jc w:val="left"/>
                      </w:pPr>
                    </w:p>
                  </w:txbxContent>
                </v:textbox>
                <w10:wrap anchory="page"/>
              </v:rect>
            </w:pict>
          </mc:Fallback>
        </mc:AlternateContent>
      </w:r>
      <w:r>
        <w:rPr>
          <w:bCs/>
          <w:color w:val="404040" w:themeColor="text1" w:themeTint="BF"/>
          <w:sz w:val="32"/>
          <w:szCs w:val="28"/>
        </w:rPr>
        <w:t>Sommario</w:t>
      </w:r>
      <w:r>
        <w:rPr>
          <w:bCs/>
          <w:color w:val="404040" w:themeColor="text1" w:themeTint="BF"/>
          <w:sz w:val="32"/>
          <w:szCs w:val="28"/>
        </w:rPr>
        <w:tab/>
      </w:r>
    </w:p>
    <w:sdt>
      <w:sdtPr>
        <w:id w:val="154276134"/>
        <w:docPartObj>
          <w:docPartGallery w:val="Table of Contents"/>
          <w:docPartUnique/>
        </w:docPartObj>
      </w:sdtPr>
      <w:sdtEndPr/>
      <w:sdtContent>
        <w:p w:rsidR="00594B59" w:rsidRDefault="00D11D2E">
          <w:pPr>
            <w:pStyle w:val="Sommario1"/>
            <w:rPr>
              <w:rFonts w:cstheme="minorBidi"/>
              <w:bCs w:val="0"/>
              <w:color w:val="auto"/>
              <w:lang w:eastAsia="it-IT"/>
            </w:rPr>
          </w:pPr>
          <w:r>
            <w:fldChar w:fldCharType="begin"/>
          </w:r>
          <w:r>
            <w:rPr>
              <w:rStyle w:val="Saltoaindice"/>
              <w:webHidden/>
            </w:rPr>
            <w:instrText xml:space="preserve"> TOC \z \o "1-5" \u \h</w:instrText>
          </w:r>
          <w:r>
            <w:rPr>
              <w:rStyle w:val="Saltoaindice"/>
            </w:rPr>
            <w:fldChar w:fldCharType="separate"/>
          </w:r>
          <w:hyperlink w:anchor="_Toc207873588">
            <w:r>
              <w:rPr>
                <w:rStyle w:val="Saltoaindice"/>
                <w:webHidden/>
              </w:rPr>
              <w:t>1.</w:t>
            </w:r>
            <w:r>
              <w:rPr>
                <w:rStyle w:val="Saltoaindice"/>
                <w:rFonts w:cstheme="minorBidi"/>
                <w:bCs w:val="0"/>
                <w:lang w:eastAsia="it-IT"/>
              </w:rPr>
              <w:tab/>
            </w:r>
            <w:r>
              <w:rPr>
                <w:rStyle w:val="Saltoaindice"/>
              </w:rPr>
              <w:t>Introduzione</w:t>
            </w:r>
            <w:r>
              <w:rPr>
                <w:webHidden/>
              </w:rPr>
              <w:fldChar w:fldCharType="begin"/>
            </w:r>
            <w:r>
              <w:rPr>
                <w:webHidden/>
              </w:rPr>
              <w:instrText>PAGEREF _Toc207873588 \h</w:instrText>
            </w:r>
            <w:r>
              <w:rPr>
                <w:webHidden/>
              </w:rPr>
            </w:r>
            <w:r>
              <w:rPr>
                <w:webHidden/>
              </w:rPr>
              <w:fldChar w:fldCharType="separate"/>
            </w:r>
            <w:r>
              <w:rPr>
                <w:rStyle w:val="Saltoaindice"/>
              </w:rPr>
              <w:tab/>
              <w:t>2</w:t>
            </w:r>
            <w:r>
              <w:rPr>
                <w:webHidden/>
              </w:rPr>
              <w:fldChar w:fldCharType="end"/>
            </w:r>
          </w:hyperlink>
        </w:p>
        <w:p w:rsidR="00594B59" w:rsidRDefault="00D11D2E">
          <w:pPr>
            <w:pStyle w:val="Sommario1"/>
            <w:rPr>
              <w:rFonts w:cstheme="minorBidi"/>
              <w:bCs w:val="0"/>
              <w:color w:val="auto"/>
              <w:lang w:eastAsia="it-IT"/>
            </w:rPr>
          </w:pPr>
          <w:hyperlink w:anchor="_Toc207873589">
            <w:r>
              <w:rPr>
                <w:rStyle w:val="Saltoaindice"/>
                <w:webHidden/>
              </w:rPr>
              <w:t>2.</w:t>
            </w:r>
            <w:r>
              <w:rPr>
                <w:rStyle w:val="Saltoaindice"/>
                <w:rFonts w:cstheme="minorBidi"/>
                <w:bCs w:val="0"/>
                <w:lang w:eastAsia="it-IT"/>
              </w:rPr>
              <w:tab/>
            </w:r>
            <w:r>
              <w:rPr>
                <w:rStyle w:val="Saltoaindice"/>
              </w:rPr>
              <w:t>Rettifiche di pre-consolidamento ed elisioni delle operazioni infragruppo</w:t>
            </w:r>
            <w:r>
              <w:rPr>
                <w:webHidden/>
              </w:rPr>
              <w:fldChar w:fldCharType="begin"/>
            </w:r>
            <w:r>
              <w:rPr>
                <w:webHidden/>
              </w:rPr>
              <w:instrText>PAGEREF _Toc207873589 \h</w:instrText>
            </w:r>
            <w:r>
              <w:rPr>
                <w:webHidden/>
              </w:rPr>
            </w:r>
            <w:r>
              <w:rPr>
                <w:webHidden/>
              </w:rPr>
              <w:fldChar w:fldCharType="separate"/>
            </w:r>
            <w:r>
              <w:rPr>
                <w:rStyle w:val="Saltoaindice"/>
              </w:rPr>
              <w:tab/>
              <w:t>4</w:t>
            </w:r>
            <w:r>
              <w:rPr>
                <w:webHidden/>
              </w:rPr>
              <w:fldChar w:fldCharType="end"/>
            </w:r>
          </w:hyperlink>
        </w:p>
        <w:p w:rsidR="00594B59" w:rsidRDefault="00D11D2E">
          <w:pPr>
            <w:pStyle w:val="Sommario1"/>
            <w:rPr>
              <w:rFonts w:cstheme="minorBidi"/>
              <w:bCs w:val="0"/>
              <w:color w:val="auto"/>
              <w:lang w:eastAsia="it-IT"/>
            </w:rPr>
          </w:pPr>
          <w:hyperlink w:anchor="_Toc207873590">
            <w:r>
              <w:rPr>
                <w:rStyle w:val="Saltoaindice"/>
                <w:webHidden/>
              </w:rPr>
              <w:t>3.</w:t>
            </w:r>
            <w:r>
              <w:rPr>
                <w:rStyle w:val="Saltoaindice"/>
                <w:rFonts w:cstheme="minorBidi"/>
                <w:bCs w:val="0"/>
                <w:lang w:eastAsia="it-IT"/>
              </w:rPr>
              <w:tab/>
            </w:r>
            <w:r>
              <w:rPr>
                <w:rStyle w:val="Saltoaindice"/>
              </w:rPr>
              <w:t>Verifiche dei saldi reciproci tra i componenti del gruppo</w:t>
            </w:r>
            <w:r>
              <w:rPr>
                <w:webHidden/>
              </w:rPr>
              <w:fldChar w:fldCharType="begin"/>
            </w:r>
            <w:r>
              <w:rPr>
                <w:webHidden/>
              </w:rPr>
              <w:instrText>PAGEREF _Toc207873590 \h</w:instrText>
            </w:r>
            <w:r>
              <w:rPr>
                <w:webHidden/>
              </w:rPr>
            </w:r>
            <w:r>
              <w:rPr>
                <w:webHidden/>
              </w:rPr>
              <w:fldChar w:fldCharType="separate"/>
            </w:r>
            <w:r>
              <w:rPr>
                <w:rStyle w:val="Saltoaindice"/>
              </w:rPr>
              <w:tab/>
              <w:t>4</w:t>
            </w:r>
            <w:r>
              <w:rPr>
                <w:webHidden/>
              </w:rPr>
              <w:fldChar w:fldCharType="end"/>
            </w:r>
          </w:hyperlink>
        </w:p>
        <w:p w:rsidR="00594B59" w:rsidRDefault="00D11D2E">
          <w:pPr>
            <w:pStyle w:val="Sommario1"/>
            <w:rPr>
              <w:rFonts w:cstheme="minorBidi"/>
              <w:bCs w:val="0"/>
              <w:color w:val="auto"/>
              <w:lang w:eastAsia="it-IT"/>
            </w:rPr>
          </w:pPr>
          <w:hyperlink w:anchor="_Toc207873591">
            <w:r>
              <w:rPr>
                <w:rStyle w:val="Saltoaindice"/>
                <w:webHidden/>
              </w:rPr>
              <w:t>4.</w:t>
            </w:r>
            <w:r>
              <w:rPr>
                <w:rStyle w:val="Saltoaindice"/>
                <w:rFonts w:cstheme="minorBidi"/>
                <w:bCs w:val="0"/>
                <w:lang w:eastAsia="it-IT"/>
              </w:rPr>
              <w:tab/>
            </w:r>
            <w:r>
              <w:rPr>
                <w:rStyle w:val="Saltoaindice"/>
              </w:rPr>
              <w:t xml:space="preserve">Verifiche </w:t>
            </w:r>
            <w:r>
              <w:rPr>
                <w:rStyle w:val="Saltoaindice"/>
              </w:rPr>
              <w:t>sul valore delle partecipazioni e del patrimonio netto</w:t>
            </w:r>
            <w:r>
              <w:rPr>
                <w:webHidden/>
              </w:rPr>
              <w:fldChar w:fldCharType="begin"/>
            </w:r>
            <w:r>
              <w:rPr>
                <w:webHidden/>
              </w:rPr>
              <w:instrText>PAGEREF _Toc207873591 \h</w:instrText>
            </w:r>
            <w:r>
              <w:rPr>
                <w:webHidden/>
              </w:rPr>
            </w:r>
            <w:r>
              <w:rPr>
                <w:webHidden/>
              </w:rPr>
              <w:fldChar w:fldCharType="separate"/>
            </w:r>
            <w:r>
              <w:rPr>
                <w:rStyle w:val="Saltoaindice"/>
              </w:rPr>
              <w:tab/>
              <w:t>4</w:t>
            </w:r>
            <w:r>
              <w:rPr>
                <w:webHidden/>
              </w:rPr>
              <w:fldChar w:fldCharType="end"/>
            </w:r>
          </w:hyperlink>
        </w:p>
        <w:p w:rsidR="00594B59" w:rsidRDefault="00D11D2E">
          <w:pPr>
            <w:pStyle w:val="Sommario1"/>
            <w:rPr>
              <w:rFonts w:cstheme="minorBidi"/>
              <w:bCs w:val="0"/>
              <w:color w:val="auto"/>
              <w:lang w:eastAsia="it-IT"/>
            </w:rPr>
          </w:pPr>
          <w:hyperlink w:anchor="_Toc207873592">
            <w:r>
              <w:rPr>
                <w:rStyle w:val="Saltoaindice"/>
                <w:webHidden/>
              </w:rPr>
              <w:t>5.</w:t>
            </w:r>
            <w:r>
              <w:rPr>
                <w:rStyle w:val="Saltoaindice"/>
                <w:rFonts w:cstheme="minorBidi"/>
                <w:bCs w:val="0"/>
                <w:lang w:eastAsia="it-IT"/>
              </w:rPr>
              <w:tab/>
            </w:r>
            <w:r>
              <w:rPr>
                <w:rStyle w:val="Saltoaindice"/>
              </w:rPr>
              <w:t>Stato patrimoniale consolidato</w:t>
            </w:r>
            <w:r>
              <w:rPr>
                <w:webHidden/>
              </w:rPr>
              <w:fldChar w:fldCharType="begin"/>
            </w:r>
            <w:r>
              <w:rPr>
                <w:webHidden/>
              </w:rPr>
              <w:instrText>PAGEREF _Toc207873592 \h</w:instrText>
            </w:r>
            <w:r>
              <w:rPr>
                <w:webHidden/>
              </w:rPr>
            </w:r>
            <w:r>
              <w:rPr>
                <w:webHidden/>
              </w:rPr>
              <w:fldChar w:fldCharType="separate"/>
            </w:r>
            <w:r>
              <w:rPr>
                <w:rStyle w:val="Saltoaindice"/>
              </w:rPr>
              <w:tab/>
              <w:t>5</w:t>
            </w:r>
            <w:r>
              <w:rPr>
                <w:webHidden/>
              </w:rPr>
              <w:fldChar w:fldCharType="end"/>
            </w:r>
          </w:hyperlink>
        </w:p>
        <w:p w:rsidR="00594B59" w:rsidRDefault="00D11D2E">
          <w:pPr>
            <w:pStyle w:val="Sommario1"/>
            <w:rPr>
              <w:rFonts w:cstheme="minorBidi"/>
              <w:bCs w:val="0"/>
              <w:color w:val="auto"/>
              <w:lang w:eastAsia="it-IT"/>
            </w:rPr>
          </w:pPr>
          <w:hyperlink w:anchor="_Toc207873593">
            <w:r>
              <w:rPr>
                <w:rStyle w:val="Saltoaindice"/>
                <w:webHidden/>
              </w:rPr>
              <w:t>6.</w:t>
            </w:r>
            <w:r>
              <w:rPr>
                <w:rStyle w:val="Saltoaindice"/>
                <w:rFonts w:cstheme="minorBidi"/>
                <w:bCs w:val="0"/>
                <w:lang w:eastAsia="it-IT"/>
              </w:rPr>
              <w:tab/>
            </w:r>
            <w:r>
              <w:rPr>
                <w:rStyle w:val="Saltoaindice"/>
              </w:rPr>
              <w:t>Conto economico consolidato</w:t>
            </w:r>
            <w:r>
              <w:rPr>
                <w:webHidden/>
              </w:rPr>
              <w:fldChar w:fldCharType="begin"/>
            </w:r>
            <w:r>
              <w:rPr>
                <w:webHidden/>
              </w:rPr>
              <w:instrText>PAGEREF _Toc207873593 \h</w:instrText>
            </w:r>
            <w:r>
              <w:rPr>
                <w:webHidden/>
              </w:rPr>
            </w:r>
            <w:r>
              <w:rPr>
                <w:webHidden/>
              </w:rPr>
              <w:fldChar w:fldCharType="separate"/>
            </w:r>
            <w:r>
              <w:rPr>
                <w:rStyle w:val="Saltoaindice"/>
              </w:rPr>
              <w:tab/>
              <w:t>9</w:t>
            </w:r>
            <w:r>
              <w:rPr>
                <w:webHidden/>
              </w:rPr>
              <w:fldChar w:fldCharType="end"/>
            </w:r>
          </w:hyperlink>
        </w:p>
        <w:p w:rsidR="00594B59" w:rsidRDefault="00D11D2E">
          <w:pPr>
            <w:pStyle w:val="Sommario1"/>
            <w:rPr>
              <w:rFonts w:cstheme="minorBidi"/>
              <w:bCs w:val="0"/>
              <w:color w:val="auto"/>
              <w:lang w:eastAsia="it-IT"/>
            </w:rPr>
          </w:pPr>
          <w:hyperlink w:anchor="_Toc207873594">
            <w:r>
              <w:rPr>
                <w:rStyle w:val="Saltoaindice"/>
                <w:webHidden/>
              </w:rPr>
              <w:t>7.</w:t>
            </w:r>
            <w:r>
              <w:rPr>
                <w:rStyle w:val="Saltoaindice"/>
                <w:rFonts w:cstheme="minorBidi"/>
                <w:bCs w:val="0"/>
                <w:lang w:eastAsia="it-IT"/>
              </w:rPr>
              <w:tab/>
            </w:r>
            <w:r>
              <w:rPr>
                <w:rStyle w:val="Saltoaindice"/>
              </w:rPr>
              <w:t>Relazione sulla gestione consolidata e nota integrativa</w:t>
            </w:r>
            <w:r>
              <w:rPr>
                <w:webHidden/>
              </w:rPr>
              <w:fldChar w:fldCharType="begin"/>
            </w:r>
            <w:r>
              <w:rPr>
                <w:webHidden/>
              </w:rPr>
              <w:instrText>PAGEREF _Toc207873594 \h</w:instrText>
            </w:r>
            <w:r>
              <w:rPr>
                <w:webHidden/>
              </w:rPr>
            </w:r>
            <w:r>
              <w:rPr>
                <w:webHidden/>
              </w:rPr>
              <w:fldChar w:fldCharType="separate"/>
            </w:r>
            <w:r>
              <w:rPr>
                <w:rStyle w:val="Saltoaindice"/>
              </w:rPr>
              <w:tab/>
              <w:t>11</w:t>
            </w:r>
            <w:r>
              <w:rPr>
                <w:webHidden/>
              </w:rPr>
              <w:fldChar w:fldCharType="end"/>
            </w:r>
          </w:hyperlink>
        </w:p>
        <w:p w:rsidR="00594B59" w:rsidRDefault="00D11D2E">
          <w:pPr>
            <w:pStyle w:val="Sommario1"/>
            <w:rPr>
              <w:rFonts w:cstheme="minorBidi"/>
              <w:bCs w:val="0"/>
              <w:color w:val="auto"/>
              <w:lang w:eastAsia="it-IT"/>
            </w:rPr>
          </w:pPr>
          <w:hyperlink w:anchor="_Toc207873595">
            <w:r>
              <w:rPr>
                <w:rStyle w:val="Saltoaindice"/>
                <w:webHidden/>
              </w:rPr>
              <w:t>8.</w:t>
            </w:r>
            <w:r>
              <w:rPr>
                <w:rStyle w:val="Saltoaindice"/>
                <w:rFonts w:cstheme="minorBidi"/>
                <w:bCs w:val="0"/>
                <w:lang w:eastAsia="it-IT"/>
              </w:rPr>
              <w:tab/>
            </w:r>
            <w:r>
              <w:rPr>
                <w:rStyle w:val="Saltoaindice"/>
              </w:rPr>
              <w:t>Osservazioni e considerazioni</w:t>
            </w:r>
            <w:r>
              <w:rPr>
                <w:webHidden/>
              </w:rPr>
              <w:fldChar w:fldCharType="begin"/>
            </w:r>
            <w:r>
              <w:rPr>
                <w:webHidden/>
              </w:rPr>
              <w:instrText>PAGEREF _Toc207873595 \h</w:instrText>
            </w:r>
            <w:r>
              <w:rPr>
                <w:webHidden/>
              </w:rPr>
            </w:r>
            <w:r>
              <w:rPr>
                <w:webHidden/>
              </w:rPr>
              <w:fldChar w:fldCharType="separate"/>
            </w:r>
            <w:r>
              <w:rPr>
                <w:rStyle w:val="Saltoaindice"/>
              </w:rPr>
              <w:tab/>
              <w:t>12</w:t>
            </w:r>
            <w:r>
              <w:rPr>
                <w:webHidden/>
              </w:rPr>
              <w:fldChar w:fldCharType="end"/>
            </w:r>
          </w:hyperlink>
        </w:p>
        <w:p w:rsidR="00594B59" w:rsidRDefault="00D11D2E">
          <w:pPr>
            <w:pStyle w:val="Sommario1"/>
            <w:rPr>
              <w:rFonts w:cstheme="minorBidi"/>
              <w:bCs w:val="0"/>
              <w:color w:val="auto"/>
              <w:lang w:eastAsia="it-IT"/>
            </w:rPr>
          </w:pPr>
          <w:hyperlink w:anchor="_Toc207873596">
            <w:r>
              <w:rPr>
                <w:rStyle w:val="Saltoaindice"/>
                <w:webHidden/>
              </w:rPr>
              <w:t>9.</w:t>
            </w:r>
            <w:r>
              <w:rPr>
                <w:rStyle w:val="Saltoaindice"/>
                <w:rFonts w:cstheme="minorBidi"/>
                <w:bCs w:val="0"/>
                <w:lang w:eastAsia="it-IT"/>
              </w:rPr>
              <w:tab/>
            </w:r>
            <w:r>
              <w:rPr>
                <w:rStyle w:val="Saltoaindice"/>
              </w:rPr>
              <w:t>Conclusioni</w:t>
            </w:r>
            <w:r>
              <w:rPr>
                <w:webHidden/>
              </w:rPr>
              <w:fldChar w:fldCharType="begin"/>
            </w:r>
            <w:r>
              <w:rPr>
                <w:webHidden/>
              </w:rPr>
              <w:instrText>PAGEREF _Toc207873596 \h</w:instrText>
            </w:r>
            <w:r>
              <w:rPr>
                <w:webHidden/>
              </w:rPr>
            </w:r>
            <w:r>
              <w:rPr>
                <w:webHidden/>
              </w:rPr>
              <w:fldChar w:fldCharType="separate"/>
            </w:r>
            <w:r>
              <w:rPr>
                <w:rStyle w:val="Saltoaindice"/>
              </w:rPr>
              <w:tab/>
              <w:t>12</w:t>
            </w:r>
            <w:r>
              <w:rPr>
                <w:webHidden/>
              </w:rPr>
              <w:fldChar w:fldCharType="end"/>
            </w:r>
          </w:hyperlink>
          <w:r>
            <w:rPr>
              <w:rStyle w:val="Saltoaindice"/>
            </w:rPr>
            <w:fldChar w:fldCharType="end"/>
          </w:r>
        </w:p>
      </w:sdtContent>
    </w:sdt>
    <w:p w:rsidR="00594B59" w:rsidRDefault="00594B59">
      <w:pPr>
        <w:ind w:left="426" w:right="565"/>
        <w:sectPr w:rsidR="00594B59">
          <w:footerReference w:type="even" r:id="rId14"/>
          <w:footerReference w:type="default" r:id="rId15"/>
          <w:footerReference w:type="first" r:id="rId16"/>
          <w:pgSz w:w="11906" w:h="16838"/>
          <w:pgMar w:top="1985" w:right="1985" w:bottom="1418" w:left="1418" w:header="0" w:footer="499" w:gutter="0"/>
          <w:pgNumType w:fmt="upperRoman"/>
          <w:cols w:space="720"/>
          <w:formProt w:val="0"/>
          <w:docGrid w:linePitch="360"/>
        </w:sectPr>
      </w:pPr>
    </w:p>
    <w:p w:rsidR="00594B59" w:rsidRDefault="00594B59"/>
    <w:p w:rsidR="00594B59" w:rsidRDefault="00D11D2E">
      <w:pPr>
        <w:jc w:val="center"/>
        <w:rPr>
          <w:b/>
          <w:bCs/>
          <w:color w:val="262626" w:themeColor="text1" w:themeTint="D9"/>
        </w:rPr>
      </w:pPr>
      <w:r>
        <w:rPr>
          <w:b/>
          <w:bCs/>
          <w:color w:val="262626" w:themeColor="text1" w:themeTint="D9"/>
        </w:rPr>
        <w:t xml:space="preserve">Verbale n. 9 del </w:t>
      </w:r>
      <w:r w:rsidR="007D34CA">
        <w:rPr>
          <w:b/>
          <w:bCs/>
          <w:color w:val="262626" w:themeColor="text1" w:themeTint="D9"/>
        </w:rPr>
        <w:t>11/09/2025</w:t>
      </w:r>
    </w:p>
    <w:p w:rsidR="00594B59" w:rsidRDefault="00D11D2E">
      <w:pPr>
        <w:jc w:val="center"/>
        <w:rPr>
          <w:b/>
          <w:bCs/>
          <w:color w:val="262626" w:themeColor="text1" w:themeTint="D9"/>
        </w:rPr>
      </w:pPr>
      <w:r>
        <w:rPr>
          <w:b/>
          <w:bCs/>
          <w:color w:val="262626" w:themeColor="text1" w:themeTint="D9"/>
        </w:rPr>
        <w:t>Relazione sul bilancio consolidato esercizio 2024</w:t>
      </w:r>
    </w:p>
    <w:p w:rsidR="00594B59" w:rsidRDefault="00D11D2E">
      <w:pPr>
        <w:rPr>
          <w:color w:val="262626" w:themeColor="text1" w:themeTint="D9"/>
        </w:rPr>
      </w:pPr>
      <w:r>
        <w:rPr>
          <w:color w:val="262626" w:themeColor="text1" w:themeTint="D9"/>
        </w:rPr>
        <w:t xml:space="preserve">L’Organo di Revisione, nelle persone del dott. </w:t>
      </w:r>
      <w:r>
        <w:rPr>
          <w:color w:val="262626" w:themeColor="text1" w:themeTint="D9"/>
        </w:rPr>
        <w:t xml:space="preserve">Maurizio Quaranta, dott. Massimo </w:t>
      </w:r>
      <w:proofErr w:type="spellStart"/>
      <w:r>
        <w:rPr>
          <w:color w:val="262626" w:themeColor="text1" w:themeTint="D9"/>
        </w:rPr>
        <w:t>Ostoni</w:t>
      </w:r>
      <w:proofErr w:type="spellEnd"/>
      <w:r>
        <w:rPr>
          <w:color w:val="262626" w:themeColor="text1" w:themeTint="D9"/>
        </w:rPr>
        <w:t xml:space="preserve"> e dott. Gabriele Colombo, esaminato lo schema di bilancio consolidato 2024, composto da Conto Economico consolidato, Stato patrimoniale consolidato, Relazione sulla gestione consolidata contenente la nota integrativa</w:t>
      </w:r>
      <w:r>
        <w:rPr>
          <w:color w:val="262626" w:themeColor="text1" w:themeTint="D9"/>
        </w:rPr>
        <w:t xml:space="preserve"> e la proposta di deliberazione consiliare di approvazione del bilancio consolidato, e operando ai sensi e nel rispetto:</w:t>
      </w:r>
    </w:p>
    <w:p w:rsidR="00594B59" w:rsidRDefault="00D11D2E">
      <w:pPr>
        <w:pStyle w:val="Paragrafoelenco"/>
        <w:numPr>
          <w:ilvl w:val="0"/>
          <w:numId w:val="3"/>
        </w:numPr>
        <w:spacing w:after="60"/>
        <w:ind w:left="426" w:hanging="284"/>
        <w:contextualSpacing w:val="0"/>
        <w:jc w:val="both"/>
        <w:rPr>
          <w:color w:val="262626" w:themeColor="text1" w:themeTint="D9"/>
        </w:rPr>
      </w:pPr>
      <w:r>
        <w:rPr>
          <w:color w:val="262626" w:themeColor="text1" w:themeTint="D9"/>
        </w:rPr>
        <w:t>del d.lgs. 18 agosto 2000, n. 267 «Testo unico delle leggi sull’ordinamento degli enti locali» ed in particolare dell’art.233-</w:t>
      </w:r>
      <w:r>
        <w:rPr>
          <w:i/>
          <w:iCs/>
          <w:color w:val="262626" w:themeColor="text1" w:themeTint="D9"/>
        </w:rPr>
        <w:t>bis</w:t>
      </w:r>
      <w:r>
        <w:rPr>
          <w:color w:val="262626" w:themeColor="text1" w:themeTint="D9"/>
        </w:rPr>
        <w:t xml:space="preserve"> e del</w:t>
      </w:r>
      <w:r>
        <w:rPr>
          <w:color w:val="262626" w:themeColor="text1" w:themeTint="D9"/>
        </w:rPr>
        <w:t>l’art. 239 comma 1, lett. d-</w:t>
      </w:r>
      <w:r>
        <w:rPr>
          <w:i/>
          <w:iCs/>
          <w:color w:val="262626" w:themeColor="text1" w:themeTint="D9"/>
        </w:rPr>
        <w:t>bis</w:t>
      </w:r>
      <w:r>
        <w:rPr>
          <w:color w:val="262626" w:themeColor="text1" w:themeTint="D9"/>
        </w:rPr>
        <w:t>;</w:t>
      </w:r>
    </w:p>
    <w:p w:rsidR="00594B59" w:rsidRDefault="00D11D2E">
      <w:pPr>
        <w:pStyle w:val="Paragrafoelenco"/>
        <w:numPr>
          <w:ilvl w:val="0"/>
          <w:numId w:val="3"/>
        </w:numPr>
        <w:spacing w:after="60"/>
        <w:ind w:left="426" w:hanging="284"/>
        <w:contextualSpacing w:val="0"/>
        <w:jc w:val="both"/>
        <w:rPr>
          <w:color w:val="262626" w:themeColor="text1" w:themeTint="D9"/>
        </w:rPr>
      </w:pPr>
      <w:r>
        <w:rPr>
          <w:color w:val="262626" w:themeColor="text1" w:themeTint="D9"/>
        </w:rPr>
        <w:t>del d.lgs. 23 giugno 2011 n. 118 e dei principi contabili in particolare dell’allegato 4/4 “Principio contabile applicato concernente il bilancio consolidato”;</w:t>
      </w:r>
    </w:p>
    <w:p w:rsidR="00594B59" w:rsidRDefault="00D11D2E">
      <w:pPr>
        <w:pStyle w:val="Paragrafoelenco"/>
        <w:numPr>
          <w:ilvl w:val="0"/>
          <w:numId w:val="3"/>
        </w:numPr>
        <w:spacing w:after="60"/>
        <w:ind w:left="426" w:hanging="284"/>
        <w:contextualSpacing w:val="0"/>
        <w:jc w:val="both"/>
      </w:pPr>
      <w:r>
        <w:t>degli schemi di cui all’allegato 11 al d.lgs.118/2011;</w:t>
      </w:r>
    </w:p>
    <w:p w:rsidR="00594B59" w:rsidRDefault="00D11D2E">
      <w:pPr>
        <w:pStyle w:val="Paragrafoelenco"/>
        <w:numPr>
          <w:ilvl w:val="0"/>
          <w:numId w:val="3"/>
        </w:numPr>
        <w:spacing w:after="60"/>
        <w:ind w:left="426" w:hanging="284"/>
        <w:contextualSpacing w:val="0"/>
        <w:jc w:val="both"/>
      </w:pPr>
      <w:r>
        <w:t>dello St</w:t>
      </w:r>
      <w:r>
        <w:t>atuto e del Regolamento di contabilità dell’Ente;</w:t>
      </w:r>
    </w:p>
    <w:p w:rsidR="00594B59" w:rsidRDefault="00D11D2E">
      <w:pPr>
        <w:pStyle w:val="Paragrafoelenco"/>
        <w:numPr>
          <w:ilvl w:val="0"/>
          <w:numId w:val="3"/>
        </w:numPr>
        <w:spacing w:after="60"/>
        <w:ind w:left="426" w:hanging="284"/>
        <w:contextualSpacing w:val="0"/>
        <w:jc w:val="both"/>
      </w:pPr>
      <w:r>
        <w:t>delle linee guida contenute nelle deliberazioni della Sezione Autonomie della Corte dei conti deliberazione n. 17/SEZAUT/2022/INPR;</w:t>
      </w:r>
    </w:p>
    <w:p w:rsidR="00594B59" w:rsidRDefault="00D11D2E">
      <w:pPr>
        <w:pStyle w:val="Paragrafoelenco"/>
        <w:numPr>
          <w:ilvl w:val="0"/>
          <w:numId w:val="3"/>
        </w:numPr>
        <w:spacing w:after="60"/>
        <w:ind w:left="426" w:hanging="284"/>
        <w:contextualSpacing w:val="0"/>
        <w:jc w:val="both"/>
      </w:pPr>
      <w:r>
        <w:t xml:space="preserve">dei principi di vigilanza e controllo dell’organo di revisione degli enti locali approvati dal Consiglio nazionale dei dottori commercialisti e degli esperti contabili; </w:t>
      </w:r>
    </w:p>
    <w:p w:rsidR="00594B59" w:rsidRDefault="00D11D2E">
      <w:pPr>
        <w:spacing w:before="240" w:after="120"/>
        <w:jc w:val="center"/>
        <w:rPr>
          <w:b/>
          <w:bCs/>
          <w:color w:val="auto"/>
        </w:rPr>
      </w:pPr>
      <w:r>
        <w:rPr>
          <w:b/>
          <w:bCs/>
        </w:rPr>
        <w:t>approva</w:t>
      </w:r>
    </w:p>
    <w:p w:rsidR="00594B59" w:rsidRDefault="00D11D2E">
      <w:pPr>
        <w:rPr>
          <w:color w:val="auto"/>
        </w:rPr>
      </w:pPr>
      <w:r>
        <w:t xml:space="preserve">l’allegata relazione sulla proposta di deliberazione consiliare di </w:t>
      </w:r>
      <w:r>
        <w:t>approvazione del bilancio consolidato e sullo schema di bilancio consolidato per l’esercizio finanziario 2024 del Comune di San Donato Milanese che forma parte integrante e sostanziale del presente verbale.</w:t>
      </w:r>
    </w:p>
    <w:p w:rsidR="00594B59" w:rsidRDefault="00594B59">
      <w:pPr>
        <w:rPr>
          <w:color w:val="auto"/>
        </w:rPr>
      </w:pPr>
    </w:p>
    <w:p w:rsidR="00594B59" w:rsidRDefault="00D11D2E">
      <w:pPr>
        <w:rPr>
          <w:color w:val="auto"/>
        </w:rPr>
      </w:pPr>
      <w:r>
        <w:rPr>
          <w:rFonts w:eastAsia="Times New Roman" w:cs="Arial"/>
          <w:color w:val="262626" w:themeColor="text1" w:themeTint="D9"/>
          <w:lang w:eastAsia="it-IT"/>
        </w:rPr>
        <w:t>Dalle proprie sedi</w:t>
      </w:r>
      <w:r>
        <w:t xml:space="preserve">, lì </w:t>
      </w:r>
      <w:r w:rsidR="007D34CA">
        <w:t>11 settembre 2025</w:t>
      </w:r>
      <w:r>
        <w:tab/>
      </w:r>
    </w:p>
    <w:p w:rsidR="00594B59" w:rsidRDefault="00594B59">
      <w:pPr>
        <w:rPr>
          <w:color w:val="auto"/>
        </w:rPr>
      </w:pPr>
    </w:p>
    <w:p w:rsidR="00594B59" w:rsidRDefault="00D11D2E">
      <w:pPr>
        <w:rPr>
          <w:color w:val="auto"/>
        </w:rPr>
      </w:pPr>
      <w:r>
        <w:t>L’Organ</w:t>
      </w:r>
      <w:r>
        <w:t>o di Revisione</w:t>
      </w:r>
    </w:p>
    <w:p w:rsidR="00594B59" w:rsidRDefault="00D11D2E">
      <w:pPr>
        <w:rPr>
          <w:color w:val="auto"/>
        </w:rPr>
      </w:pPr>
      <w:r>
        <w:t>Maurizio Quaranta - Presidente</w:t>
      </w:r>
    </w:p>
    <w:p w:rsidR="00594B59" w:rsidRDefault="00D11D2E">
      <w:pPr>
        <w:rPr>
          <w:color w:val="auto"/>
        </w:rPr>
      </w:pPr>
      <w:r>
        <w:t xml:space="preserve">Massimo </w:t>
      </w:r>
      <w:proofErr w:type="spellStart"/>
      <w:r>
        <w:t>Ostoni</w:t>
      </w:r>
      <w:proofErr w:type="spellEnd"/>
      <w:r>
        <w:t xml:space="preserve"> – Componente</w:t>
      </w:r>
    </w:p>
    <w:p w:rsidR="00594B59" w:rsidRDefault="00D11D2E">
      <w:pPr>
        <w:rPr>
          <w:color w:val="auto"/>
        </w:rPr>
      </w:pPr>
      <w:r>
        <w:t>Gabriele Colombo – Componente</w:t>
      </w:r>
    </w:p>
    <w:p w:rsidR="00594B59" w:rsidRDefault="00594B59">
      <w:pPr>
        <w:spacing w:after="0" w:line="240" w:lineRule="auto"/>
        <w:rPr>
          <w:rFonts w:cs="Calibri"/>
          <w:b/>
          <w:bCs/>
          <w:i/>
          <w:iCs/>
          <w:sz w:val="24"/>
          <w:szCs w:val="24"/>
        </w:rPr>
      </w:pPr>
    </w:p>
    <w:p w:rsidR="00594B59" w:rsidRDefault="00594B59">
      <w:pPr>
        <w:spacing w:after="0" w:line="240" w:lineRule="auto"/>
        <w:rPr>
          <w:rFonts w:cs="Calibri"/>
          <w:b/>
          <w:bCs/>
          <w:i/>
          <w:iCs/>
          <w:sz w:val="24"/>
          <w:szCs w:val="24"/>
        </w:rPr>
      </w:pPr>
    </w:p>
    <w:p w:rsidR="00594B59" w:rsidRDefault="00594B59">
      <w:pPr>
        <w:spacing w:after="0" w:line="240" w:lineRule="auto"/>
        <w:rPr>
          <w:rFonts w:cs="Calibri"/>
          <w:b/>
          <w:bCs/>
          <w:i/>
          <w:iCs/>
          <w:sz w:val="24"/>
          <w:szCs w:val="24"/>
        </w:rPr>
      </w:pPr>
    </w:p>
    <w:p w:rsidR="00594B59" w:rsidRDefault="00D11D2E">
      <w:pPr>
        <w:pStyle w:val="Titolo1"/>
        <w:numPr>
          <w:ilvl w:val="0"/>
          <w:numId w:val="13"/>
        </w:numPr>
        <w:spacing w:before="0" w:after="0" w:line="240" w:lineRule="auto"/>
      </w:pPr>
      <w:bookmarkStart w:id="0" w:name="_Toc207873588"/>
      <w:r>
        <w:t>Introduzione</w:t>
      </w:r>
      <w:bookmarkEnd w:id="0"/>
    </w:p>
    <w:p w:rsidR="00594B59" w:rsidRDefault="00D11D2E">
      <w:pPr>
        <w:tabs>
          <w:tab w:val="left" w:pos="1440"/>
        </w:tabs>
        <w:spacing w:after="0" w:line="240" w:lineRule="auto"/>
        <w:rPr>
          <w:rFonts w:eastAsia="Times New Roman" w:cstheme="minorHAnsi"/>
          <w:color w:val="auto"/>
          <w:szCs w:val="22"/>
          <w:lang w:eastAsia="it-IT"/>
        </w:rPr>
      </w:pPr>
      <w:r>
        <w:rPr>
          <w:rFonts w:eastAsia="Times New Roman" w:cstheme="minorHAnsi"/>
          <w:szCs w:val="22"/>
          <w:lang w:eastAsia="it-IT"/>
        </w:rPr>
        <w:t>I sottoscritti revisori nominati con</w:t>
      </w:r>
      <w:r>
        <w:rPr>
          <w:rFonts w:ascii="Arial" w:hAnsi="Arial" w:cs="Arial"/>
        </w:rPr>
        <w:t xml:space="preserve"> </w:t>
      </w:r>
      <w:r>
        <w:rPr>
          <w:rFonts w:eastAsia="Times New Roman" w:cstheme="minorHAnsi"/>
          <w:szCs w:val="22"/>
          <w:lang w:eastAsia="it-IT"/>
        </w:rPr>
        <w:t>deliberazione del Consiglio Comunale n. 15 del 16 aprile 2025</w:t>
      </w:r>
    </w:p>
    <w:p w:rsidR="00594B59" w:rsidRDefault="00594B59">
      <w:pPr>
        <w:tabs>
          <w:tab w:val="left" w:pos="1440"/>
        </w:tabs>
        <w:spacing w:after="0" w:line="240" w:lineRule="auto"/>
        <w:rPr>
          <w:rFonts w:eastAsia="Times New Roman" w:cstheme="minorHAnsi"/>
          <w:color w:val="auto"/>
          <w:szCs w:val="22"/>
          <w:lang w:eastAsia="it-IT"/>
        </w:rPr>
      </w:pPr>
    </w:p>
    <w:p w:rsidR="00594B59" w:rsidRDefault="00D11D2E">
      <w:pPr>
        <w:spacing w:line="300" w:lineRule="auto"/>
        <w:jc w:val="center"/>
        <w:rPr>
          <w:rFonts w:eastAsia="Times New Roman" w:cstheme="minorHAnsi"/>
          <w:b/>
          <w:color w:val="auto"/>
          <w:szCs w:val="22"/>
          <w:lang w:eastAsia="it-IT"/>
        </w:rPr>
      </w:pPr>
      <w:r>
        <w:rPr>
          <w:rFonts w:eastAsia="Times New Roman" w:cstheme="minorHAnsi"/>
          <w:b/>
          <w:szCs w:val="22"/>
          <w:lang w:eastAsia="it-IT"/>
        </w:rPr>
        <w:t>Premesso</w:t>
      </w:r>
    </w:p>
    <w:p w:rsidR="00594B59" w:rsidRDefault="00D11D2E">
      <w:pPr>
        <w:numPr>
          <w:ilvl w:val="0"/>
          <w:numId w:val="4"/>
        </w:numPr>
        <w:spacing w:after="0" w:line="240" w:lineRule="auto"/>
        <w:ind w:left="284" w:hanging="284"/>
        <w:contextualSpacing/>
        <w:rPr>
          <w:rFonts w:eastAsia="Times New Roman" w:cstheme="minorHAnsi"/>
          <w:color w:val="auto"/>
          <w:szCs w:val="22"/>
          <w:lang w:eastAsia="it-IT"/>
        </w:rPr>
      </w:pPr>
      <w:r>
        <w:rPr>
          <w:rFonts w:eastAsia="Times New Roman" w:cstheme="minorHAnsi"/>
          <w:szCs w:val="22"/>
          <w:lang w:eastAsia="it-IT"/>
        </w:rPr>
        <w:t>che con deliberazione consi</w:t>
      </w:r>
      <w:r>
        <w:rPr>
          <w:rFonts w:eastAsia="Times New Roman" w:cstheme="minorHAnsi"/>
          <w:szCs w:val="22"/>
          <w:lang w:eastAsia="it-IT"/>
        </w:rPr>
        <w:t xml:space="preserve">liare n. 14 del 16/04/2025 è stato approvato il rendiconto della gestione per l’esercizio 2024; </w:t>
      </w:r>
    </w:p>
    <w:p w:rsidR="00594B59" w:rsidRDefault="00D11D2E">
      <w:pPr>
        <w:numPr>
          <w:ilvl w:val="0"/>
          <w:numId w:val="4"/>
        </w:numPr>
        <w:spacing w:after="0" w:line="240" w:lineRule="auto"/>
        <w:ind w:left="284" w:hanging="284"/>
        <w:contextualSpacing/>
        <w:rPr>
          <w:rFonts w:eastAsia="Times New Roman" w:cstheme="minorHAnsi"/>
          <w:color w:val="auto"/>
          <w:szCs w:val="22"/>
          <w:lang w:eastAsia="it-IT"/>
        </w:rPr>
      </w:pPr>
      <w:r>
        <w:rPr>
          <w:rFonts w:eastAsia="Times New Roman" w:cstheme="minorHAnsi"/>
          <w:szCs w:val="22"/>
          <w:lang w:eastAsia="it-IT"/>
        </w:rPr>
        <w:t xml:space="preserve">che il precedente Organo con verbale n. 76 del 27/03/2025 ha formulato il proprio giudizio favorevole al rendiconto della gestione per l’esercizio 2024, senza </w:t>
      </w:r>
      <w:r>
        <w:rPr>
          <w:rFonts w:eastAsia="Times New Roman" w:cstheme="minorHAnsi"/>
          <w:szCs w:val="22"/>
          <w:lang w:eastAsia="it-IT"/>
        </w:rPr>
        <w:t>rilievi;</w:t>
      </w:r>
    </w:p>
    <w:p w:rsidR="00594B59" w:rsidRDefault="00D11D2E">
      <w:pPr>
        <w:numPr>
          <w:ilvl w:val="0"/>
          <w:numId w:val="4"/>
        </w:numPr>
        <w:spacing w:after="0" w:line="240" w:lineRule="auto"/>
        <w:ind w:left="284" w:hanging="284"/>
        <w:contextualSpacing/>
        <w:rPr>
          <w:rFonts w:eastAsia="Times New Roman" w:cstheme="minorHAnsi"/>
          <w:color w:val="auto"/>
          <w:szCs w:val="22"/>
          <w:lang w:eastAsia="it-IT"/>
        </w:rPr>
      </w:pPr>
      <w:r>
        <w:rPr>
          <w:rFonts w:eastAsia="Times New Roman" w:cstheme="minorHAnsi"/>
          <w:szCs w:val="22"/>
          <w:lang w:eastAsia="it-IT"/>
        </w:rPr>
        <w:t xml:space="preserve">che in </w:t>
      </w:r>
      <w:r>
        <w:rPr>
          <w:rFonts w:eastAsia="Times New Roman" w:cstheme="minorHAnsi"/>
          <w:color w:val="000000"/>
          <w:szCs w:val="22"/>
          <w:lang w:eastAsia="it-IT"/>
        </w:rPr>
        <w:t>data 4 settembre u.s. l’Organo</w:t>
      </w:r>
      <w:r>
        <w:rPr>
          <w:rFonts w:eastAsia="Times New Roman" w:cstheme="minorHAnsi"/>
          <w:szCs w:val="22"/>
          <w:lang w:eastAsia="it-IT"/>
        </w:rPr>
        <w:t xml:space="preserve"> di revisione ha ricevuto la proposta di deliberazione di Consiglio Comunale n. 2815 del 28/08/2025 e lo schema del bilancio consolidato per l’esercizio 2024 completo di:</w:t>
      </w:r>
    </w:p>
    <w:p w:rsidR="00594B59" w:rsidRDefault="00D11D2E">
      <w:pPr>
        <w:widowControl w:val="0"/>
        <w:spacing w:after="0" w:line="240" w:lineRule="auto"/>
        <w:ind w:left="284"/>
        <w:textAlignment w:val="baseline"/>
        <w:rPr>
          <w:rFonts w:eastAsia="Times New Roman" w:cstheme="minorHAnsi"/>
          <w:color w:val="auto"/>
          <w:szCs w:val="22"/>
          <w:lang w:eastAsia="it-IT"/>
        </w:rPr>
      </w:pPr>
      <w:r>
        <w:rPr>
          <w:rFonts w:eastAsia="Times New Roman" w:cstheme="minorHAnsi"/>
          <w:szCs w:val="22"/>
          <w:lang w:eastAsia="it-IT"/>
        </w:rPr>
        <w:t>a) Conto Economico consolidato;</w:t>
      </w:r>
    </w:p>
    <w:p w:rsidR="00594B59" w:rsidRDefault="00D11D2E">
      <w:pPr>
        <w:widowControl w:val="0"/>
        <w:spacing w:after="0" w:line="240" w:lineRule="auto"/>
        <w:ind w:left="284"/>
        <w:textAlignment w:val="baseline"/>
        <w:rPr>
          <w:rFonts w:eastAsia="Times New Roman" w:cstheme="minorHAnsi"/>
          <w:color w:val="auto"/>
          <w:szCs w:val="22"/>
          <w:lang w:eastAsia="it-IT"/>
        </w:rPr>
      </w:pPr>
      <w:r>
        <w:rPr>
          <w:rFonts w:eastAsia="Times New Roman" w:cstheme="minorHAnsi"/>
          <w:szCs w:val="22"/>
          <w:lang w:eastAsia="it-IT"/>
        </w:rPr>
        <w:t>b) Stat</w:t>
      </w:r>
      <w:r>
        <w:rPr>
          <w:rFonts w:eastAsia="Times New Roman" w:cstheme="minorHAnsi"/>
          <w:szCs w:val="22"/>
          <w:lang w:eastAsia="it-IT"/>
        </w:rPr>
        <w:t>o Patrimoniale consolidato;</w:t>
      </w:r>
    </w:p>
    <w:p w:rsidR="00594B59" w:rsidRDefault="00D11D2E">
      <w:pPr>
        <w:widowControl w:val="0"/>
        <w:spacing w:after="0" w:line="240" w:lineRule="auto"/>
        <w:ind w:left="284"/>
        <w:textAlignment w:val="baseline"/>
        <w:rPr>
          <w:rFonts w:eastAsia="Times New Roman" w:cstheme="minorHAnsi"/>
          <w:color w:val="auto"/>
          <w:szCs w:val="22"/>
          <w:lang w:eastAsia="it-IT"/>
        </w:rPr>
      </w:pPr>
      <w:r>
        <w:rPr>
          <w:rFonts w:eastAsia="Times New Roman" w:cstheme="minorHAnsi"/>
          <w:szCs w:val="22"/>
          <w:lang w:eastAsia="it-IT"/>
        </w:rPr>
        <w:t xml:space="preserve">c) Relazione sulla Gestione Consolidata contenente la nota integrativa; </w:t>
      </w:r>
    </w:p>
    <w:p w:rsidR="00594B59" w:rsidRDefault="00D11D2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la formazione del bilancio consolidato è guidata dal Principio contabile applicato di cui all’allegato n. 4/4 al d.lgs. n. 118/2011;</w:t>
      </w:r>
    </w:p>
    <w:p w:rsidR="00594B59" w:rsidRDefault="00D11D2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il punto 6) de</w:t>
      </w:r>
      <w:r>
        <w:rPr>
          <w:rFonts w:eastAsia="Times New Roman" w:cstheme="minorHAnsi"/>
          <w:szCs w:val="22"/>
          <w:lang w:eastAsia="it-IT"/>
        </w:rPr>
        <w:t>l sopra richiamato principio contabile dispone testualmente “per quanto non specificatamente previsto nel presente documento si fa rinvio ai Principi contabili generali civilistici e a quelli emanati dall’Organismo Italiano di Contabilità (OIC)”;</w:t>
      </w:r>
    </w:p>
    <w:p w:rsidR="00594B59" w:rsidRDefault="00D11D2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 xml:space="preserve">che con </w:t>
      </w:r>
      <w:r>
        <w:rPr>
          <w:rFonts w:eastAsia="Times New Roman" w:cstheme="minorHAnsi"/>
          <w:szCs w:val="22"/>
          <w:lang w:eastAsia="it-IT"/>
        </w:rPr>
        <w:t xml:space="preserve">deliberazione di Giunta Comunale n. 123 del 15/10/2024, l’Ente ha approvato l’elenco 1 (presente anche nel DUP) che indica gli enti, le aziende e le società componenti il gruppo amministrazione pubblica (d’ora in poi GAP) di cui al par. 3.1) del Principio </w:t>
      </w:r>
      <w:r>
        <w:rPr>
          <w:rFonts w:eastAsia="Times New Roman" w:cstheme="minorHAnsi"/>
          <w:szCs w:val="22"/>
          <w:lang w:eastAsia="it-IT"/>
        </w:rPr>
        <w:t>contabile 4/4 del d.lgs. n. 118/2011, e l’elenco 2 che individua i soggetti del GAP i cui bilanci rientrano nel perimetro del consolidamento;</w:t>
      </w:r>
    </w:p>
    <w:p w:rsidR="00594B59" w:rsidRPr="002E2022" w:rsidRDefault="00D11D2E" w:rsidP="002E2022">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 xml:space="preserve">che gli enti, le aziende e le società inseriti nell’elenco 1 di cui al par. 3.1 del Principio contabile applicato </w:t>
      </w:r>
      <w:r>
        <w:rPr>
          <w:rFonts w:eastAsia="Times New Roman" w:cstheme="minorHAnsi"/>
          <w:szCs w:val="22"/>
          <w:lang w:eastAsia="it-IT"/>
        </w:rPr>
        <w:t>concernente il bilancio consolidato (Allegato 4/4 al d.lgs. n. 118/2011), che compongono il gruppo amministrazione pubblica, sono i seguenti:</w:t>
      </w:r>
    </w:p>
    <w:tbl>
      <w:tblPr>
        <w:tblW w:w="9060" w:type="dxa"/>
        <w:tblLayout w:type="fixed"/>
        <w:tblCellMar>
          <w:left w:w="70" w:type="dxa"/>
          <w:right w:w="70" w:type="dxa"/>
        </w:tblCellMar>
        <w:tblLook w:val="04A0" w:firstRow="1" w:lastRow="0" w:firstColumn="1" w:lastColumn="0" w:noHBand="0" w:noVBand="1"/>
      </w:tblPr>
      <w:tblGrid>
        <w:gridCol w:w="1399"/>
        <w:gridCol w:w="1205"/>
        <w:gridCol w:w="953"/>
        <w:gridCol w:w="1261"/>
        <w:gridCol w:w="709"/>
        <w:gridCol w:w="905"/>
        <w:gridCol w:w="1261"/>
        <w:gridCol w:w="1367"/>
      </w:tblGrid>
      <w:tr w:rsidR="00594B59">
        <w:trPr>
          <w:trHeight w:val="1106"/>
        </w:trPr>
        <w:tc>
          <w:tcPr>
            <w:tcW w:w="1398" w:type="dxa"/>
            <w:tcBorders>
              <w:top w:val="single" w:sz="4" w:space="0" w:color="000000"/>
              <w:left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 xml:space="preserve">Denominazione </w:t>
            </w:r>
          </w:p>
        </w:tc>
        <w:tc>
          <w:tcPr>
            <w:tcW w:w="1205"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Cod. Fiscale/P.IVA</w:t>
            </w:r>
          </w:p>
        </w:tc>
        <w:tc>
          <w:tcPr>
            <w:tcW w:w="953"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Categoria</w:t>
            </w:r>
          </w:p>
        </w:tc>
        <w:tc>
          <w:tcPr>
            <w:tcW w:w="1261"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Tipologia di partecipazione</w:t>
            </w:r>
          </w:p>
        </w:tc>
        <w:tc>
          <w:tcPr>
            <w:tcW w:w="709"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i/>
                <w:iCs/>
                <w:color w:val="000000"/>
                <w:sz w:val="16"/>
                <w:szCs w:val="16"/>
                <w:lang w:eastAsia="it-IT"/>
              </w:rPr>
            </w:pPr>
            <w:proofErr w:type="spellStart"/>
            <w:r>
              <w:rPr>
                <w:rFonts w:ascii="Arial" w:eastAsia="Times New Roman" w:hAnsi="Arial" w:cs="Arial"/>
                <w:b/>
                <w:bCs/>
                <w:i/>
                <w:iCs/>
                <w:sz w:val="16"/>
                <w:szCs w:val="16"/>
                <w:lang w:eastAsia="it-IT"/>
              </w:rPr>
              <w:t>Societa</w:t>
            </w:r>
            <w:proofErr w:type="spellEnd"/>
            <w:r>
              <w:rPr>
                <w:rFonts w:ascii="Arial" w:eastAsia="Times New Roman" w:hAnsi="Arial" w:cs="Arial"/>
                <w:b/>
                <w:bCs/>
                <w:i/>
                <w:iCs/>
                <w:sz w:val="16"/>
                <w:szCs w:val="16"/>
                <w:lang w:eastAsia="it-IT"/>
              </w:rPr>
              <w:t xml:space="preserve"> in house</w:t>
            </w:r>
          </w:p>
        </w:tc>
        <w:tc>
          <w:tcPr>
            <w:tcW w:w="905"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Società affidataria dire</w:t>
            </w:r>
            <w:r>
              <w:rPr>
                <w:rFonts w:ascii="Arial" w:eastAsia="Times New Roman" w:hAnsi="Arial" w:cs="Arial"/>
                <w:b/>
                <w:bCs/>
                <w:sz w:val="16"/>
                <w:szCs w:val="16"/>
                <w:lang w:eastAsia="it-IT"/>
              </w:rPr>
              <w:t>tta di servizio pubblico</w:t>
            </w:r>
          </w:p>
        </w:tc>
        <w:tc>
          <w:tcPr>
            <w:tcW w:w="1261"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 xml:space="preserve">% </w:t>
            </w:r>
            <w:r>
              <w:rPr>
                <w:rFonts w:ascii="Arial" w:eastAsia="Times New Roman" w:hAnsi="Arial" w:cs="Arial"/>
                <w:b/>
                <w:bCs/>
                <w:sz w:val="16"/>
                <w:szCs w:val="16"/>
                <w:lang w:eastAsia="it-IT"/>
              </w:rPr>
              <w:br/>
              <w:t xml:space="preserve">partecipazione </w:t>
            </w:r>
          </w:p>
        </w:tc>
        <w:tc>
          <w:tcPr>
            <w:tcW w:w="1367"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Motivo di esclusione dal perimetro di consolidamento</w:t>
            </w:r>
          </w:p>
        </w:tc>
      </w:tr>
      <w:tr w:rsidR="00594B59">
        <w:trPr>
          <w:trHeight w:val="678"/>
        </w:trPr>
        <w:tc>
          <w:tcPr>
            <w:tcW w:w="1398"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AZIENDA COMUNALE FARMACIE</w:t>
            </w:r>
          </w:p>
        </w:tc>
        <w:tc>
          <w:tcPr>
            <w:tcW w:w="1205"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11305000157</w:t>
            </w:r>
          </w:p>
        </w:tc>
        <w:tc>
          <w:tcPr>
            <w:tcW w:w="953"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2. Ente strumentale controllato</w:t>
            </w:r>
          </w:p>
        </w:tc>
        <w:tc>
          <w:tcPr>
            <w:tcW w:w="1261"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905"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1261"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100</w:t>
            </w:r>
          </w:p>
        </w:tc>
        <w:tc>
          <w:tcPr>
            <w:tcW w:w="1367"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Times New Roman" w:eastAsia="Times New Roman" w:hAnsi="Times New Roman" w:cs="Times New Roman"/>
                <w:color w:val="auto"/>
                <w:sz w:val="18"/>
                <w:szCs w:val="18"/>
                <w:lang w:eastAsia="it-IT"/>
              </w:rPr>
            </w:pPr>
            <w:r>
              <w:rPr>
                <w:rFonts w:ascii="Times New Roman" w:eastAsia="Times New Roman" w:hAnsi="Times New Roman" w:cs="Times New Roman"/>
                <w:sz w:val="18"/>
                <w:szCs w:val="18"/>
                <w:lang w:eastAsia="it-IT"/>
              </w:rPr>
              <w:t> </w:t>
            </w:r>
          </w:p>
        </w:tc>
      </w:tr>
      <w:tr w:rsidR="00594B59">
        <w:trPr>
          <w:trHeight w:val="568"/>
        </w:trPr>
        <w:tc>
          <w:tcPr>
            <w:tcW w:w="139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AZIENDA SOCIALE SUD EST MILANO</w:t>
            </w:r>
          </w:p>
        </w:tc>
        <w:tc>
          <w:tcPr>
            <w:tcW w:w="1205"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97529770154</w:t>
            </w:r>
          </w:p>
        </w:tc>
        <w:tc>
          <w:tcPr>
            <w:tcW w:w="953"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 xml:space="preserve">3. Ente strumentale </w:t>
            </w:r>
            <w:r>
              <w:rPr>
                <w:rFonts w:ascii="Arial" w:eastAsia="Times New Roman" w:hAnsi="Arial" w:cs="Arial"/>
                <w:sz w:val="14"/>
                <w:szCs w:val="14"/>
                <w:lang w:eastAsia="it-IT"/>
              </w:rPr>
              <w:t>partecipato</w:t>
            </w:r>
          </w:p>
        </w:tc>
        <w:tc>
          <w:tcPr>
            <w:tcW w:w="1261"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905"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1261"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38,75</w:t>
            </w:r>
          </w:p>
        </w:tc>
        <w:tc>
          <w:tcPr>
            <w:tcW w:w="1367"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 </w:t>
            </w:r>
          </w:p>
        </w:tc>
      </w:tr>
      <w:tr w:rsidR="00594B59">
        <w:trPr>
          <w:trHeight w:val="570"/>
        </w:trPr>
        <w:tc>
          <w:tcPr>
            <w:tcW w:w="139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AFOL METROPOLITANA</w:t>
            </w:r>
          </w:p>
        </w:tc>
        <w:tc>
          <w:tcPr>
            <w:tcW w:w="1205"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8928300964</w:t>
            </w:r>
          </w:p>
        </w:tc>
        <w:tc>
          <w:tcPr>
            <w:tcW w:w="953"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3. Ente strumentale partecipato</w:t>
            </w:r>
          </w:p>
        </w:tc>
        <w:tc>
          <w:tcPr>
            <w:tcW w:w="1261"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905"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1261"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0,57</w:t>
            </w:r>
          </w:p>
        </w:tc>
        <w:tc>
          <w:tcPr>
            <w:tcW w:w="1367"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 </w:t>
            </w:r>
          </w:p>
        </w:tc>
      </w:tr>
      <w:tr w:rsidR="00594B59">
        <w:trPr>
          <w:trHeight w:val="679"/>
        </w:trPr>
        <w:tc>
          <w:tcPr>
            <w:tcW w:w="139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CUBI - CULTURE BIBLIOTECHE IN RETE</w:t>
            </w:r>
          </w:p>
        </w:tc>
        <w:tc>
          <w:tcPr>
            <w:tcW w:w="1205"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12509200965</w:t>
            </w:r>
          </w:p>
        </w:tc>
        <w:tc>
          <w:tcPr>
            <w:tcW w:w="953"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3. Ente strumentale partecipato</w:t>
            </w:r>
          </w:p>
        </w:tc>
        <w:tc>
          <w:tcPr>
            <w:tcW w:w="1261"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905"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1261"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4,95</w:t>
            </w:r>
          </w:p>
        </w:tc>
        <w:tc>
          <w:tcPr>
            <w:tcW w:w="1367"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 </w:t>
            </w:r>
          </w:p>
        </w:tc>
      </w:tr>
      <w:tr w:rsidR="00594B59">
        <w:trPr>
          <w:trHeight w:val="569"/>
        </w:trPr>
        <w:tc>
          <w:tcPr>
            <w:tcW w:w="139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CAP HOLDING S.P.A.</w:t>
            </w:r>
          </w:p>
        </w:tc>
        <w:tc>
          <w:tcPr>
            <w:tcW w:w="1205"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13187590156</w:t>
            </w:r>
          </w:p>
        </w:tc>
        <w:tc>
          <w:tcPr>
            <w:tcW w:w="953"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5. Società partecipata</w:t>
            </w:r>
          </w:p>
        </w:tc>
        <w:tc>
          <w:tcPr>
            <w:tcW w:w="1261"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905"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SI</w:t>
            </w:r>
          </w:p>
        </w:tc>
        <w:tc>
          <w:tcPr>
            <w:tcW w:w="1261"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1,2242</w:t>
            </w:r>
          </w:p>
        </w:tc>
        <w:tc>
          <w:tcPr>
            <w:tcW w:w="1367"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 </w:t>
            </w:r>
          </w:p>
        </w:tc>
      </w:tr>
      <w:tr w:rsidR="00594B59">
        <w:trPr>
          <w:trHeight w:val="547"/>
        </w:trPr>
        <w:tc>
          <w:tcPr>
            <w:tcW w:w="139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4"/>
                <w:szCs w:val="14"/>
                <w:lang w:eastAsia="it-IT"/>
              </w:rPr>
            </w:pPr>
            <w:r>
              <w:rPr>
                <w:rFonts w:ascii="Arial" w:eastAsia="Times New Roman" w:hAnsi="Arial" w:cs="Arial"/>
                <w:sz w:val="14"/>
                <w:szCs w:val="14"/>
                <w:lang w:eastAsia="it-IT"/>
              </w:rPr>
              <w:t>ROCCA BRIVIO SFORZA S.R.L.</w:t>
            </w:r>
          </w:p>
        </w:tc>
        <w:tc>
          <w:tcPr>
            <w:tcW w:w="1205"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7007600153</w:t>
            </w:r>
          </w:p>
        </w:tc>
        <w:tc>
          <w:tcPr>
            <w:tcW w:w="953"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5. Società partecipata</w:t>
            </w:r>
          </w:p>
        </w:tc>
        <w:tc>
          <w:tcPr>
            <w:tcW w:w="1261"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Diretta</w:t>
            </w:r>
          </w:p>
        </w:tc>
        <w:tc>
          <w:tcPr>
            <w:tcW w:w="709"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905"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NO</w:t>
            </w:r>
          </w:p>
        </w:tc>
        <w:tc>
          <w:tcPr>
            <w:tcW w:w="1261"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20,81</w:t>
            </w:r>
          </w:p>
        </w:tc>
        <w:tc>
          <w:tcPr>
            <w:tcW w:w="1367"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4"/>
                <w:szCs w:val="14"/>
                <w:lang w:eastAsia="it-IT"/>
              </w:rPr>
            </w:pPr>
            <w:r>
              <w:rPr>
                <w:rFonts w:ascii="Arial" w:eastAsia="Times New Roman" w:hAnsi="Arial" w:cs="Arial"/>
                <w:sz w:val="14"/>
                <w:szCs w:val="14"/>
                <w:lang w:eastAsia="it-IT"/>
              </w:rPr>
              <w:t>1. Irrilevanza</w:t>
            </w:r>
          </w:p>
        </w:tc>
      </w:tr>
    </w:tbl>
    <w:p w:rsidR="00594B59" w:rsidRPr="00F23BEE" w:rsidRDefault="00D11D2E" w:rsidP="00F23BE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le aziende, le società e gli enti inseriti nell’elenco 2 di cui al par. 3.1) del Principio</w:t>
      </w:r>
      <w:r>
        <w:rPr>
          <w:rFonts w:eastAsia="Times New Roman" w:cstheme="minorHAnsi"/>
          <w:szCs w:val="22"/>
          <w:lang w:eastAsia="it-IT"/>
        </w:rPr>
        <w:t xml:space="preserve"> contabile</w:t>
      </w:r>
      <w:r>
        <w:rPr>
          <w:rFonts w:eastAsia="Times New Roman" w:cstheme="minorHAnsi"/>
          <w:szCs w:val="22"/>
          <w:lang w:eastAsia="it-IT"/>
        </w:rPr>
        <w:t xml:space="preserve"> </w:t>
      </w:r>
      <w:r>
        <w:rPr>
          <w:rFonts w:eastAsia="Times New Roman" w:cstheme="minorHAnsi"/>
          <w:szCs w:val="22"/>
          <w:lang w:eastAsia="it-IT"/>
        </w:rPr>
        <w:t xml:space="preserve">applicato concernente il bilancio consolidato (Allegato 4/4 al d.lgs. n. 118/11), componenti del </w:t>
      </w:r>
      <w:r>
        <w:rPr>
          <w:rFonts w:eastAsia="Times New Roman" w:cstheme="minorHAnsi"/>
          <w:szCs w:val="22"/>
          <w:lang w:eastAsia="it-IT"/>
        </w:rPr>
        <w:lastRenderedPageBreak/>
        <w:t>gruppo amministrazione pubblica facenti parte del perimetro di consolidamento e dunque compresi nel bilancio consolidato, sono i seguenti:</w:t>
      </w:r>
    </w:p>
    <w:tbl>
      <w:tblPr>
        <w:tblW w:w="9060" w:type="dxa"/>
        <w:tblLayout w:type="fixed"/>
        <w:tblCellMar>
          <w:left w:w="70" w:type="dxa"/>
          <w:right w:w="70" w:type="dxa"/>
        </w:tblCellMar>
        <w:tblLook w:val="04A0" w:firstRow="1" w:lastRow="0" w:firstColumn="1" w:lastColumn="0" w:noHBand="0" w:noVBand="1"/>
      </w:tblPr>
      <w:tblGrid>
        <w:gridCol w:w="2259"/>
        <w:gridCol w:w="1182"/>
        <w:gridCol w:w="1592"/>
        <w:gridCol w:w="916"/>
        <w:gridCol w:w="1389"/>
        <w:gridCol w:w="1722"/>
      </w:tblGrid>
      <w:tr w:rsidR="00594B59">
        <w:trPr>
          <w:trHeight w:val="619"/>
        </w:trPr>
        <w:tc>
          <w:tcPr>
            <w:tcW w:w="2258" w:type="dxa"/>
            <w:tcBorders>
              <w:top w:val="single" w:sz="4" w:space="0" w:color="000000"/>
              <w:left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Denominazione</w:t>
            </w:r>
          </w:p>
        </w:tc>
        <w:tc>
          <w:tcPr>
            <w:tcW w:w="1182"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Codice Fiscale</w:t>
            </w:r>
          </w:p>
        </w:tc>
        <w:tc>
          <w:tcPr>
            <w:tcW w:w="1592"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Categoria</w:t>
            </w:r>
          </w:p>
        </w:tc>
        <w:tc>
          <w:tcPr>
            <w:tcW w:w="916"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 part.ne</w:t>
            </w:r>
          </w:p>
        </w:tc>
        <w:tc>
          <w:tcPr>
            <w:tcW w:w="1389"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Anno di riferimento bilancio</w:t>
            </w:r>
          </w:p>
        </w:tc>
        <w:tc>
          <w:tcPr>
            <w:tcW w:w="1722" w:type="dxa"/>
            <w:tcBorders>
              <w:top w:val="single" w:sz="4" w:space="0" w:color="000000"/>
              <w:right w:val="single" w:sz="4" w:space="0" w:color="000000"/>
            </w:tcBorders>
            <w:shd w:val="clear" w:color="1F3864" w:fill="8DB4E2"/>
            <w:vAlign w:val="center"/>
          </w:tcPr>
          <w:p w:rsidR="00594B59" w:rsidRDefault="00D11D2E">
            <w:pPr>
              <w:spacing w:after="0" w:line="240" w:lineRule="auto"/>
              <w:jc w:val="center"/>
              <w:rPr>
                <w:rFonts w:ascii="Arial" w:eastAsia="Times New Roman" w:hAnsi="Arial" w:cs="Arial"/>
                <w:b/>
                <w:bCs/>
                <w:color w:val="000000"/>
                <w:sz w:val="16"/>
                <w:szCs w:val="16"/>
                <w:lang w:eastAsia="it-IT"/>
              </w:rPr>
            </w:pPr>
            <w:r>
              <w:rPr>
                <w:rFonts w:ascii="Arial" w:eastAsia="Times New Roman" w:hAnsi="Arial" w:cs="Arial"/>
                <w:b/>
                <w:bCs/>
                <w:sz w:val="16"/>
                <w:szCs w:val="16"/>
                <w:lang w:eastAsia="it-IT"/>
              </w:rPr>
              <w:t>Metodo di consolidamento</w:t>
            </w:r>
          </w:p>
        </w:tc>
      </w:tr>
      <w:tr w:rsidR="00594B59">
        <w:trPr>
          <w:trHeight w:val="557"/>
        </w:trPr>
        <w:tc>
          <w:tcPr>
            <w:tcW w:w="2258"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6"/>
                <w:szCs w:val="16"/>
                <w:lang w:eastAsia="it-IT"/>
              </w:rPr>
            </w:pPr>
            <w:r>
              <w:rPr>
                <w:rFonts w:ascii="Arial" w:eastAsia="Times New Roman" w:hAnsi="Arial" w:cs="Arial"/>
                <w:sz w:val="16"/>
                <w:szCs w:val="16"/>
                <w:lang w:eastAsia="it-IT"/>
              </w:rPr>
              <w:t>AZIENDA COMUNALE FARMACIE</w:t>
            </w:r>
          </w:p>
        </w:tc>
        <w:tc>
          <w:tcPr>
            <w:tcW w:w="1182"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11305000157</w:t>
            </w:r>
          </w:p>
        </w:tc>
        <w:tc>
          <w:tcPr>
            <w:tcW w:w="1592" w:type="dxa"/>
            <w:tcBorders>
              <w:top w:val="single" w:sz="4" w:space="0" w:color="000000"/>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 Ente strumentale controllato</w:t>
            </w:r>
          </w:p>
        </w:tc>
        <w:tc>
          <w:tcPr>
            <w:tcW w:w="916"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100</w:t>
            </w:r>
          </w:p>
        </w:tc>
        <w:tc>
          <w:tcPr>
            <w:tcW w:w="1389"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2024</w:t>
            </w:r>
          </w:p>
        </w:tc>
        <w:tc>
          <w:tcPr>
            <w:tcW w:w="1722" w:type="dxa"/>
            <w:tcBorders>
              <w:top w:val="single" w:sz="4" w:space="0" w:color="000000"/>
              <w:bottom w:val="single" w:sz="4" w:space="0" w:color="000000"/>
              <w:right w:val="single" w:sz="8"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Integrale</w:t>
            </w:r>
          </w:p>
        </w:tc>
      </w:tr>
      <w:tr w:rsidR="00594B59">
        <w:trPr>
          <w:trHeight w:val="564"/>
        </w:trPr>
        <w:tc>
          <w:tcPr>
            <w:tcW w:w="225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6"/>
                <w:szCs w:val="16"/>
                <w:lang w:eastAsia="it-IT"/>
              </w:rPr>
            </w:pPr>
            <w:r>
              <w:rPr>
                <w:rFonts w:ascii="Arial" w:eastAsia="Times New Roman" w:hAnsi="Arial" w:cs="Arial"/>
                <w:sz w:val="16"/>
                <w:szCs w:val="16"/>
                <w:lang w:eastAsia="it-IT"/>
              </w:rPr>
              <w:t>AZIENDA SOCIALE SUD EST MILANO</w:t>
            </w:r>
          </w:p>
        </w:tc>
        <w:tc>
          <w:tcPr>
            <w:tcW w:w="1182"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97529770154</w:t>
            </w:r>
          </w:p>
        </w:tc>
        <w:tc>
          <w:tcPr>
            <w:tcW w:w="1592"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3. Ente strumentale</w:t>
            </w:r>
            <w:r>
              <w:rPr>
                <w:rFonts w:ascii="Arial" w:eastAsia="Times New Roman" w:hAnsi="Arial" w:cs="Arial"/>
                <w:sz w:val="16"/>
                <w:szCs w:val="16"/>
                <w:lang w:eastAsia="it-IT"/>
              </w:rPr>
              <w:t xml:space="preserve"> partecipato</w:t>
            </w:r>
          </w:p>
        </w:tc>
        <w:tc>
          <w:tcPr>
            <w:tcW w:w="916"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38,75</w:t>
            </w:r>
          </w:p>
        </w:tc>
        <w:tc>
          <w:tcPr>
            <w:tcW w:w="1389"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2024</w:t>
            </w:r>
          </w:p>
        </w:tc>
        <w:tc>
          <w:tcPr>
            <w:tcW w:w="1722" w:type="dxa"/>
            <w:tcBorders>
              <w:bottom w:val="single" w:sz="4" w:space="0" w:color="000000"/>
              <w:right w:val="single" w:sz="8"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Proporzionale</w:t>
            </w:r>
          </w:p>
        </w:tc>
      </w:tr>
      <w:tr w:rsidR="00594B59">
        <w:trPr>
          <w:trHeight w:val="545"/>
        </w:trPr>
        <w:tc>
          <w:tcPr>
            <w:tcW w:w="225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6"/>
                <w:szCs w:val="16"/>
                <w:lang w:eastAsia="it-IT"/>
              </w:rPr>
            </w:pPr>
            <w:r>
              <w:rPr>
                <w:rFonts w:ascii="Arial" w:eastAsia="Times New Roman" w:hAnsi="Arial" w:cs="Arial"/>
                <w:sz w:val="16"/>
                <w:szCs w:val="16"/>
                <w:lang w:eastAsia="it-IT"/>
              </w:rPr>
              <w:t>AFOL METROPOLITANA</w:t>
            </w:r>
          </w:p>
        </w:tc>
        <w:tc>
          <w:tcPr>
            <w:tcW w:w="1182"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8928300964</w:t>
            </w:r>
          </w:p>
        </w:tc>
        <w:tc>
          <w:tcPr>
            <w:tcW w:w="1592"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3. Ente strumentale partecipato</w:t>
            </w:r>
          </w:p>
        </w:tc>
        <w:tc>
          <w:tcPr>
            <w:tcW w:w="916"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0,</w:t>
            </w:r>
            <w:r w:rsidR="007D34CA">
              <w:rPr>
                <w:rFonts w:ascii="Arial" w:eastAsia="Times New Roman" w:hAnsi="Arial" w:cs="Arial"/>
                <w:sz w:val="16"/>
                <w:szCs w:val="16"/>
                <w:lang w:eastAsia="it-IT"/>
              </w:rPr>
              <w:t>57</w:t>
            </w:r>
          </w:p>
        </w:tc>
        <w:tc>
          <w:tcPr>
            <w:tcW w:w="1389"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2024</w:t>
            </w:r>
          </w:p>
        </w:tc>
        <w:tc>
          <w:tcPr>
            <w:tcW w:w="1722" w:type="dxa"/>
            <w:tcBorders>
              <w:bottom w:val="single" w:sz="4" w:space="0" w:color="000000"/>
              <w:right w:val="single" w:sz="8"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Proporzionale</w:t>
            </w:r>
          </w:p>
        </w:tc>
      </w:tr>
      <w:tr w:rsidR="00594B59">
        <w:trPr>
          <w:trHeight w:val="566"/>
        </w:trPr>
        <w:tc>
          <w:tcPr>
            <w:tcW w:w="225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6"/>
                <w:szCs w:val="16"/>
                <w:lang w:eastAsia="it-IT"/>
              </w:rPr>
            </w:pPr>
            <w:r>
              <w:rPr>
                <w:rFonts w:ascii="Arial" w:eastAsia="Times New Roman" w:hAnsi="Arial" w:cs="Arial"/>
                <w:sz w:val="16"/>
                <w:szCs w:val="16"/>
                <w:lang w:eastAsia="it-IT"/>
              </w:rPr>
              <w:t>CUBI - CULTURE BIBLIOTECHE IN RETE</w:t>
            </w:r>
          </w:p>
        </w:tc>
        <w:tc>
          <w:tcPr>
            <w:tcW w:w="1182"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12509200965</w:t>
            </w:r>
          </w:p>
        </w:tc>
        <w:tc>
          <w:tcPr>
            <w:tcW w:w="1592"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3. Ente strumentale partecipato</w:t>
            </w:r>
          </w:p>
        </w:tc>
        <w:tc>
          <w:tcPr>
            <w:tcW w:w="916"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4,95</w:t>
            </w:r>
          </w:p>
        </w:tc>
        <w:tc>
          <w:tcPr>
            <w:tcW w:w="1389"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2024</w:t>
            </w:r>
          </w:p>
        </w:tc>
        <w:tc>
          <w:tcPr>
            <w:tcW w:w="1722" w:type="dxa"/>
            <w:tcBorders>
              <w:bottom w:val="single" w:sz="4" w:space="0" w:color="000000"/>
              <w:right w:val="single" w:sz="8"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Proporzionale</w:t>
            </w:r>
          </w:p>
        </w:tc>
      </w:tr>
      <w:tr w:rsidR="00594B59">
        <w:trPr>
          <w:trHeight w:val="547"/>
        </w:trPr>
        <w:tc>
          <w:tcPr>
            <w:tcW w:w="2258"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6"/>
                <w:szCs w:val="16"/>
                <w:lang w:eastAsia="it-IT"/>
              </w:rPr>
            </w:pPr>
            <w:r>
              <w:rPr>
                <w:rFonts w:ascii="Arial" w:eastAsia="Times New Roman" w:hAnsi="Arial" w:cs="Arial"/>
                <w:sz w:val="16"/>
                <w:szCs w:val="16"/>
                <w:lang w:eastAsia="it-IT"/>
              </w:rPr>
              <w:t>CAP HOLDING S.P.A.</w:t>
            </w:r>
          </w:p>
        </w:tc>
        <w:tc>
          <w:tcPr>
            <w:tcW w:w="1182"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13187590156</w:t>
            </w:r>
          </w:p>
        </w:tc>
        <w:tc>
          <w:tcPr>
            <w:tcW w:w="1592" w:type="dxa"/>
            <w:tcBorders>
              <w:bottom w:val="single" w:sz="4" w:space="0" w:color="000000"/>
              <w:right w:val="single" w:sz="4"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5. Società partecipata</w:t>
            </w:r>
          </w:p>
        </w:tc>
        <w:tc>
          <w:tcPr>
            <w:tcW w:w="916"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1,2242</w:t>
            </w:r>
          </w:p>
        </w:tc>
        <w:tc>
          <w:tcPr>
            <w:tcW w:w="1389"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2024</w:t>
            </w:r>
          </w:p>
        </w:tc>
        <w:tc>
          <w:tcPr>
            <w:tcW w:w="1722" w:type="dxa"/>
            <w:tcBorders>
              <w:bottom w:val="single" w:sz="4" w:space="0" w:color="000000"/>
              <w:right w:val="single" w:sz="8" w:space="0" w:color="000000"/>
            </w:tcBorders>
            <w:shd w:val="clear" w:color="BDD6EE" w:fill="BDD6EE"/>
            <w:vAlign w:val="center"/>
          </w:tcPr>
          <w:p w:rsidR="00594B59" w:rsidRDefault="00D11D2E">
            <w:pPr>
              <w:spacing w:after="0" w:line="240" w:lineRule="auto"/>
              <w:jc w:val="center"/>
              <w:rPr>
                <w:rFonts w:ascii="Arial" w:eastAsia="Times New Roman" w:hAnsi="Arial" w:cs="Arial"/>
                <w:color w:val="auto"/>
                <w:sz w:val="16"/>
                <w:szCs w:val="16"/>
                <w:lang w:eastAsia="it-IT"/>
              </w:rPr>
            </w:pPr>
            <w:r>
              <w:rPr>
                <w:rFonts w:ascii="Arial" w:eastAsia="Times New Roman" w:hAnsi="Arial" w:cs="Arial"/>
                <w:sz w:val="16"/>
                <w:szCs w:val="16"/>
                <w:lang w:eastAsia="it-IT"/>
              </w:rPr>
              <w:t>Proporzionale</w:t>
            </w:r>
          </w:p>
        </w:tc>
      </w:tr>
    </w:tbl>
    <w:p w:rsidR="00594B59" w:rsidRDefault="00594B59">
      <w:pPr>
        <w:widowControl w:val="0"/>
        <w:spacing w:after="0" w:line="240" w:lineRule="auto"/>
        <w:ind w:left="284"/>
        <w:textAlignment w:val="baseline"/>
        <w:rPr>
          <w:rFonts w:eastAsia="Times New Roman" w:cstheme="minorHAnsi"/>
          <w:color w:val="auto"/>
          <w:szCs w:val="22"/>
          <w:lang w:eastAsia="it-IT"/>
        </w:rPr>
      </w:pPr>
    </w:p>
    <w:p w:rsidR="00594B59" w:rsidRDefault="00D11D2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heme="minorHAnsi"/>
          <w:szCs w:val="22"/>
        </w:rPr>
        <w:t xml:space="preserve">che tra gli organismi rientranti nel perimetro di consolidamento (vedi tabella 2) non figurano soggetti interessati (a titolo di soggetto attuatore o di supporto tecnico-operativo, ai sensi dell’art. 9, </w:t>
      </w:r>
      <w:proofErr w:type="spellStart"/>
      <w:r>
        <w:rPr>
          <w:rFonts w:eastAsiaTheme="minorHAnsi"/>
          <w:szCs w:val="22"/>
        </w:rPr>
        <w:t>d.l.</w:t>
      </w:r>
      <w:proofErr w:type="spellEnd"/>
      <w:r>
        <w:rPr>
          <w:rFonts w:eastAsiaTheme="minorHAnsi"/>
          <w:szCs w:val="22"/>
        </w:rPr>
        <w:t xml:space="preserve"> n. 77/2021) alla realizzazione di interventi fin</w:t>
      </w:r>
      <w:r>
        <w:rPr>
          <w:rFonts w:eastAsiaTheme="minorHAnsi"/>
          <w:szCs w:val="22"/>
        </w:rPr>
        <w:t xml:space="preserve">anziati con le risorse del P.N.R.R./P.N.C.; </w:t>
      </w:r>
    </w:p>
    <w:p w:rsidR="00594B59" w:rsidRDefault="00D11D2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per la definizione del perimetro di consolidamento l’Ente ha provveduto a individuare la soglia di rilevanza da confrontare con i parametri societari indicati alla lett. a) del punto 3.1 del principio 4/4;</w:t>
      </w:r>
    </w:p>
    <w:p w:rsidR="00594B59" w:rsidRPr="00F23BEE" w:rsidRDefault="00D11D2E" w:rsidP="00F23BEE">
      <w:pPr>
        <w:widowControl w:val="0"/>
        <w:numPr>
          <w:ilvl w:val="0"/>
          <w:numId w:val="4"/>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w:t>
      </w:r>
      <w:r>
        <w:rPr>
          <w:rFonts w:eastAsia="Times New Roman" w:cstheme="minorHAnsi"/>
          <w:szCs w:val="22"/>
          <w:lang w:eastAsia="it-IT"/>
        </w:rPr>
        <w:t>he le soglie di rilevanza dei parametri, come desunti dallo Stato Patrimoniale e dal Conto economico dell’Ente con le proprie Istituzioni, sono le seguenti (in presenza di patrimonio netto negativo, l’irrilevanza è determinata con riferimento ai soli due p</w:t>
      </w:r>
      <w:r>
        <w:rPr>
          <w:rFonts w:eastAsia="Times New Roman" w:cstheme="minorHAnsi"/>
          <w:szCs w:val="22"/>
          <w:lang w:eastAsia="it-IT"/>
        </w:rPr>
        <w:t>arametri restanti):</w:t>
      </w:r>
    </w:p>
    <w:tbl>
      <w:tblPr>
        <w:tblW w:w="9140" w:type="dxa"/>
        <w:tblLayout w:type="fixed"/>
        <w:tblCellMar>
          <w:left w:w="70" w:type="dxa"/>
          <w:right w:w="70" w:type="dxa"/>
        </w:tblCellMar>
        <w:tblLook w:val="04A0" w:firstRow="1" w:lastRow="0" w:firstColumn="1" w:lastColumn="0" w:noHBand="0" w:noVBand="1"/>
      </w:tblPr>
      <w:tblGrid>
        <w:gridCol w:w="3441"/>
        <w:gridCol w:w="1619"/>
        <w:gridCol w:w="1901"/>
        <w:gridCol w:w="2179"/>
      </w:tblGrid>
      <w:tr w:rsidR="00594B59">
        <w:trPr>
          <w:trHeight w:val="300"/>
        </w:trPr>
        <w:tc>
          <w:tcPr>
            <w:tcW w:w="3440" w:type="dxa"/>
            <w:tcBorders>
              <w:top w:val="single" w:sz="4" w:space="0" w:color="000000"/>
              <w:left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1619" w:type="dxa"/>
            <w:tcBorders>
              <w:top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 attivo</w:t>
            </w:r>
          </w:p>
        </w:tc>
        <w:tc>
          <w:tcPr>
            <w:tcW w:w="1901" w:type="dxa"/>
            <w:tcBorders>
              <w:top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Patrimonio netto</w:t>
            </w:r>
          </w:p>
        </w:tc>
        <w:tc>
          <w:tcPr>
            <w:tcW w:w="2179" w:type="dxa"/>
            <w:tcBorders>
              <w:top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Ricavi caratteristici</w:t>
            </w:r>
          </w:p>
        </w:tc>
      </w:tr>
      <w:tr w:rsidR="00594B59">
        <w:trPr>
          <w:trHeight w:val="300"/>
        </w:trPr>
        <w:tc>
          <w:tcPr>
            <w:tcW w:w="344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center"/>
              <w:rPr>
                <w:rFonts w:ascii="Arial" w:eastAsia="Times New Roman" w:hAnsi="Arial" w:cs="Arial"/>
                <w:color w:val="000000"/>
                <w:sz w:val="16"/>
                <w:szCs w:val="16"/>
                <w:lang w:eastAsia="it-IT"/>
              </w:rPr>
            </w:pPr>
            <w:r>
              <w:rPr>
                <w:rFonts w:ascii="Arial" w:eastAsia="Times New Roman" w:hAnsi="Arial" w:cs="Arial"/>
                <w:sz w:val="16"/>
                <w:szCs w:val="16"/>
                <w:lang w:eastAsia="it-IT"/>
              </w:rPr>
              <w:t>COMUNE DI SAN DONATO MILANESE</w:t>
            </w:r>
          </w:p>
        </w:tc>
        <w:tc>
          <w:tcPr>
            <w:tcW w:w="1619"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163.040.437,42</w:t>
            </w:r>
          </w:p>
        </w:tc>
        <w:tc>
          <w:tcPr>
            <w:tcW w:w="1901"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128.603.570,74</w:t>
            </w:r>
          </w:p>
        </w:tc>
        <w:tc>
          <w:tcPr>
            <w:tcW w:w="2179"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37.655.393,28</w:t>
            </w:r>
          </w:p>
        </w:tc>
      </w:tr>
      <w:tr w:rsidR="00594B59">
        <w:trPr>
          <w:trHeight w:val="300"/>
        </w:trPr>
        <w:tc>
          <w:tcPr>
            <w:tcW w:w="3440" w:type="dxa"/>
            <w:tcBorders>
              <w:left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SOGLIA DI RILEVANZA (3%)</w:t>
            </w:r>
          </w:p>
        </w:tc>
        <w:tc>
          <w:tcPr>
            <w:tcW w:w="1619"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4.891.213,12</w:t>
            </w:r>
          </w:p>
        </w:tc>
        <w:tc>
          <w:tcPr>
            <w:tcW w:w="1901"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3.858.107,12</w:t>
            </w:r>
          </w:p>
        </w:tc>
        <w:tc>
          <w:tcPr>
            <w:tcW w:w="2179"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1.129.661,80</w:t>
            </w:r>
          </w:p>
        </w:tc>
      </w:tr>
    </w:tbl>
    <w:p w:rsidR="00594B59" w:rsidRDefault="00594B59">
      <w:pPr>
        <w:widowControl w:val="0"/>
        <w:spacing w:after="0" w:line="240" w:lineRule="auto"/>
        <w:textAlignment w:val="baseline"/>
        <w:rPr>
          <w:rFonts w:eastAsia="Times New Roman" w:cstheme="minorHAnsi"/>
          <w:color w:val="auto"/>
          <w:szCs w:val="22"/>
          <w:lang w:eastAsia="it-IT"/>
        </w:rPr>
      </w:pP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sono stati considerati sempre rilevanti, anche se la partecipazione è inferiore al 1%, gli enti e le società partecipate titolari di affidamento diretto da parte dell’Ente e/o dei componenti del Gruppo Amministrazione Pubblica, a prescindere dalla quot</w:t>
      </w:r>
      <w:r>
        <w:rPr>
          <w:rFonts w:eastAsia="Times New Roman" w:cstheme="minorHAnsi"/>
          <w:szCs w:val="22"/>
          <w:lang w:eastAsia="it-IT"/>
        </w:rPr>
        <w:t xml:space="preserve">a di partecipazione, gli enti e le società totalmente partecipati dall’Ente e le società in house. </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la valutazione di irrilevanza è stata formulata solo con riferimento alla singola società Rocca Brivio Sforza s.r.l. in liquidazione, in quanto tutti gl</w:t>
      </w:r>
      <w:r>
        <w:rPr>
          <w:rFonts w:eastAsia="Times New Roman" w:cstheme="minorHAnsi"/>
          <w:szCs w:val="22"/>
          <w:lang w:eastAsia="it-IT"/>
        </w:rPr>
        <w:t xml:space="preserve">i altri enti e società sono stati considerati rilevanti. </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l’Organo di revisione non ha rilevato delle osservazioni in merito alla eventuale mancata corrispondenza del perimetro di consolidamento con le disposizioni del Principio contabile applicato con</w:t>
      </w:r>
      <w:r>
        <w:rPr>
          <w:rFonts w:eastAsia="Times New Roman" w:cstheme="minorHAnsi"/>
          <w:szCs w:val="22"/>
          <w:lang w:eastAsia="it-IT"/>
        </w:rPr>
        <w:t>cernente il bilancio consolidato (Allegato 4/4 al d.lgs. n. 118/2011);</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 xml:space="preserve">che l’Ente </w:t>
      </w:r>
      <w:r>
        <w:rPr>
          <w:rFonts w:eastAsia="Times New Roman" w:cs="Arial"/>
          <w:szCs w:val="22"/>
          <w:lang w:eastAsia="it-IT"/>
        </w:rPr>
        <w:t>capogruppo</w:t>
      </w:r>
      <w:r>
        <w:rPr>
          <w:rFonts w:eastAsia="Times New Roman" w:cstheme="minorHAnsi"/>
          <w:szCs w:val="22"/>
          <w:lang w:eastAsia="it-IT"/>
        </w:rPr>
        <w:t xml:space="preserve"> con appositi atti ha comunicato agli organismi, alle aziende e alle società l’inclusione delle stesse nel perimetro di consolidamento, ha trasmesso a ciascuno di tali enti l’elenco degli enti compresi nel consolidato e ha preventivamente impartito le dire</w:t>
      </w:r>
      <w:r>
        <w:rPr>
          <w:rFonts w:eastAsia="Times New Roman" w:cstheme="minorHAnsi"/>
          <w:szCs w:val="22"/>
          <w:lang w:eastAsia="it-IT"/>
        </w:rPr>
        <w:t>ttive necessarie al fine di rendere possibile la predisposizione del bilancio consolidato;</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l’Organo di revisione ha valutato tali direttive come corrispondenti a norme, regolamenti e principi contabili;</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Arial"/>
          <w:szCs w:val="22"/>
          <w:lang w:eastAsia="it-IT"/>
        </w:rPr>
        <w:t>che l’Ente capogruppo ha ricevuto la documentazio</w:t>
      </w:r>
      <w:r>
        <w:rPr>
          <w:rFonts w:eastAsia="Times New Roman" w:cs="Arial"/>
          <w:szCs w:val="22"/>
          <w:lang w:eastAsia="it-IT"/>
        </w:rPr>
        <w:t>ne contabile da parte dei propri componenti del gruppo entro i termini previsti dal principio contabile 4/4</w:t>
      </w:r>
      <w:r>
        <w:rPr>
          <w:rFonts w:eastAsiaTheme="minorHAnsi"/>
          <w:szCs w:val="22"/>
        </w:rPr>
        <w:t>;</w:t>
      </w:r>
    </w:p>
    <w:p w:rsidR="00594B59" w:rsidRDefault="00D11D2E">
      <w:pPr>
        <w:widowControl w:val="0"/>
        <w:numPr>
          <w:ilvl w:val="0"/>
          <w:numId w:val="5"/>
        </w:numPr>
        <w:spacing w:after="0" w:line="240" w:lineRule="auto"/>
        <w:ind w:left="284" w:hanging="284"/>
        <w:textAlignment w:val="baseline"/>
        <w:rPr>
          <w:rFonts w:eastAsia="Times New Roman" w:cstheme="minorHAnsi"/>
          <w:color w:val="auto"/>
          <w:szCs w:val="22"/>
          <w:lang w:eastAsia="it-IT"/>
        </w:rPr>
      </w:pPr>
      <w:r>
        <w:rPr>
          <w:rFonts w:eastAsia="Times New Roman" w:cstheme="minorHAnsi"/>
          <w:szCs w:val="22"/>
          <w:lang w:eastAsia="it-IT"/>
        </w:rPr>
        <w:t>che l’Organo di Revisione ha preso in esame la documentazione, le carte di lavoro, i prospetti afferenti al bilancio consolidato dell’Ente e</w:t>
      </w:r>
      <w:r>
        <w:rPr>
          <w:rFonts w:eastAsia="Times New Roman" w:cs="Arial"/>
          <w:szCs w:val="22"/>
          <w:lang w:eastAsia="it-IT"/>
        </w:rPr>
        <w:t xml:space="preserve"> nei pa</w:t>
      </w:r>
      <w:r>
        <w:rPr>
          <w:rFonts w:eastAsia="Times New Roman" w:cs="Arial"/>
          <w:szCs w:val="22"/>
          <w:lang w:eastAsia="it-IT"/>
        </w:rPr>
        <w:t>ragrafi che seguono</w:t>
      </w:r>
      <w:r>
        <w:rPr>
          <w:rFonts w:eastAsia="Times New Roman" w:cstheme="minorHAnsi"/>
          <w:szCs w:val="22"/>
          <w:lang w:eastAsia="it-IT"/>
        </w:rPr>
        <w:t>;</w:t>
      </w:r>
    </w:p>
    <w:p w:rsidR="00594B59" w:rsidRDefault="00594B59">
      <w:pPr>
        <w:widowControl w:val="0"/>
        <w:spacing w:after="0" w:line="240" w:lineRule="auto"/>
        <w:ind w:left="284"/>
        <w:textAlignment w:val="baseline"/>
        <w:rPr>
          <w:rFonts w:eastAsia="Times New Roman" w:cstheme="minorHAnsi"/>
          <w:color w:val="auto"/>
          <w:szCs w:val="22"/>
          <w:lang w:eastAsia="it-IT"/>
        </w:rPr>
      </w:pPr>
    </w:p>
    <w:p w:rsidR="00594B59" w:rsidRDefault="00D11D2E">
      <w:pPr>
        <w:spacing w:after="0" w:line="300" w:lineRule="auto"/>
        <w:jc w:val="center"/>
        <w:rPr>
          <w:sz w:val="24"/>
          <w:szCs w:val="24"/>
        </w:rPr>
      </w:pPr>
      <w:r>
        <w:rPr>
          <w:rFonts w:eastAsia="Times New Roman" w:cs="Arial"/>
          <w:b/>
          <w:sz w:val="24"/>
          <w:szCs w:val="24"/>
          <w:lang w:eastAsia="it-IT"/>
        </w:rPr>
        <w:t>Presenta</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i risultati dell’analisi e le considerazioni sul Bilancio Consolidato dell’esercizio 2024 del Comune di San Donato Milanese.</w:t>
      </w:r>
    </w:p>
    <w:p w:rsidR="00594B59" w:rsidRDefault="00594B59">
      <w:pPr>
        <w:spacing w:after="0" w:line="300" w:lineRule="auto"/>
        <w:rPr>
          <w:rFonts w:eastAsia="Times New Roman" w:cs="Arial"/>
          <w:color w:val="auto"/>
          <w:szCs w:val="22"/>
          <w:lang w:eastAsia="it-IT"/>
        </w:rPr>
      </w:pPr>
    </w:p>
    <w:p w:rsidR="00594B59" w:rsidRDefault="00D11D2E">
      <w:pPr>
        <w:pStyle w:val="Titolo1"/>
        <w:numPr>
          <w:ilvl w:val="0"/>
          <w:numId w:val="2"/>
        </w:numPr>
        <w:spacing w:before="0" w:after="0" w:line="240" w:lineRule="auto"/>
      </w:pPr>
      <w:bookmarkStart w:id="1" w:name="_Toc207873589"/>
      <w:r>
        <w:t xml:space="preserve">Rettifiche di </w:t>
      </w:r>
      <w:proofErr w:type="spellStart"/>
      <w:r>
        <w:t>pre</w:t>
      </w:r>
      <w:proofErr w:type="spellEnd"/>
      <w:r>
        <w:t>-consolidamento ed elisioni delle operazioni infragruppo</w:t>
      </w:r>
      <w:bookmarkEnd w:id="1"/>
    </w:p>
    <w:p w:rsidR="00594B59" w:rsidRDefault="00D11D2E">
      <w:pPr>
        <w:spacing w:after="0" w:line="240" w:lineRule="auto"/>
        <w:rPr>
          <w:color w:val="262626" w:themeColor="text1" w:themeTint="D9"/>
        </w:rPr>
      </w:pPr>
      <w:r>
        <w:rPr>
          <w:color w:val="262626" w:themeColor="text1" w:themeTint="D9"/>
        </w:rPr>
        <w:t xml:space="preserve">Nell’ambito delle </w:t>
      </w:r>
      <w:r>
        <w:rPr>
          <w:color w:val="262626" w:themeColor="text1" w:themeTint="D9"/>
        </w:rPr>
        <w:t>attività di controllo, l’Organo di revisione ha verificato che:</w:t>
      </w:r>
    </w:p>
    <w:p w:rsidR="00594B59" w:rsidRDefault="00D11D2E">
      <w:pPr>
        <w:numPr>
          <w:ilvl w:val="0"/>
          <w:numId w:val="7"/>
        </w:numPr>
        <w:spacing w:after="0" w:line="240" w:lineRule="auto"/>
        <w:ind w:left="425" w:hanging="284"/>
        <w:rPr>
          <w:rFonts w:eastAsia="Times New Roman" w:cstheme="minorHAnsi"/>
          <w:b/>
          <w:i/>
          <w:iCs/>
          <w:sz w:val="32"/>
          <w:szCs w:val="32"/>
          <w:lang w:eastAsia="it-IT"/>
        </w:rPr>
      </w:pPr>
      <w:r>
        <w:rPr>
          <w:color w:val="262626" w:themeColor="text1" w:themeTint="D9"/>
        </w:rPr>
        <w:t xml:space="preserve">sono state contabilizzate le rettifiche di </w:t>
      </w:r>
      <w:proofErr w:type="spellStart"/>
      <w:r>
        <w:rPr>
          <w:color w:val="262626" w:themeColor="text1" w:themeTint="D9"/>
        </w:rPr>
        <w:t>pre</w:t>
      </w:r>
      <w:proofErr w:type="spellEnd"/>
      <w:r>
        <w:rPr>
          <w:color w:val="262626" w:themeColor="text1" w:themeTint="D9"/>
        </w:rPr>
        <w:t>-consolidamento indispensabili a rendere uniformi i bilanci da consolidare</w:t>
      </w:r>
      <w:r>
        <w:rPr>
          <w:i/>
          <w:iCs/>
        </w:rPr>
        <w:t>;</w:t>
      </w:r>
    </w:p>
    <w:p w:rsidR="00594B59" w:rsidRDefault="00594B59">
      <w:pPr>
        <w:spacing w:after="0" w:line="240" w:lineRule="auto"/>
        <w:ind w:left="425"/>
        <w:rPr>
          <w:rFonts w:eastAsia="Times New Roman" w:cstheme="minorHAnsi"/>
          <w:b/>
          <w:i/>
          <w:iCs/>
          <w:sz w:val="32"/>
          <w:szCs w:val="32"/>
          <w:lang w:eastAsia="it-IT"/>
        </w:rPr>
      </w:pPr>
    </w:p>
    <w:p w:rsidR="00594B59" w:rsidRDefault="00D11D2E">
      <w:pPr>
        <w:pStyle w:val="Titolo1"/>
        <w:numPr>
          <w:ilvl w:val="0"/>
          <w:numId w:val="2"/>
        </w:numPr>
        <w:spacing w:before="0" w:after="0" w:line="240" w:lineRule="auto"/>
      </w:pPr>
      <w:bookmarkStart w:id="2" w:name="_Toc207873590"/>
      <w:r>
        <w:t>Verifiche dei saldi reciproci tra i componenti del gruppo</w:t>
      </w:r>
      <w:bookmarkEnd w:id="2"/>
    </w:p>
    <w:p w:rsidR="00594B59" w:rsidRDefault="00D11D2E">
      <w:pPr>
        <w:spacing w:after="0" w:line="240" w:lineRule="auto"/>
        <w:rPr>
          <w:rFonts w:eastAsiaTheme="minorHAnsi"/>
          <w:color w:val="262626" w:themeColor="text1" w:themeTint="D9"/>
          <w:szCs w:val="22"/>
        </w:rPr>
      </w:pPr>
      <w:r>
        <w:rPr>
          <w:rFonts w:eastAsiaTheme="minorHAnsi"/>
          <w:color w:val="262626" w:themeColor="text1" w:themeTint="D9"/>
          <w:szCs w:val="22"/>
        </w:rPr>
        <w:t>L’Organo di</w:t>
      </w:r>
      <w:r>
        <w:rPr>
          <w:rFonts w:eastAsiaTheme="minorHAnsi"/>
          <w:color w:val="262626" w:themeColor="text1" w:themeTint="D9"/>
          <w:szCs w:val="22"/>
        </w:rPr>
        <w:t xml:space="preserve"> Revisione dell’Ente e gli organi di controllo dell’Azienda Comunale Farmacie, di Afol Metropolitana e di CUBI -Culture Biblioteche In Rete, hanno asseverato i crediti e i debiti reciproci di cui all’art.11, comma 6, lett. j), del d.lgs. n. 118/2011 in sed</w:t>
      </w:r>
      <w:r>
        <w:rPr>
          <w:rFonts w:eastAsiaTheme="minorHAnsi"/>
          <w:color w:val="262626" w:themeColor="text1" w:themeTint="D9"/>
          <w:szCs w:val="22"/>
        </w:rPr>
        <w:t>e di chiusura del Rendiconto 2024 (Deliberazione Sezione delle autonomie n. 2/2016). Per quanto riguarda l’Azienda Sociale Sud Est Milano – Azienda Speciale Consortile l’asseverazione debiti/crediti al 31/12/2024 è pervenuta il 23/06/2025 (ns. prot. N. 263</w:t>
      </w:r>
      <w:r>
        <w:rPr>
          <w:rFonts w:eastAsiaTheme="minorHAnsi"/>
          <w:color w:val="262626" w:themeColor="text1" w:themeTint="D9"/>
          <w:szCs w:val="22"/>
        </w:rPr>
        <w:t>45), per la società Cap Holding Spa l’asseverazione della certificazione debiti/crediti al 31.12.2024 è pervenuta il 03/07/2025 (ns. prot. N. 27879).</w:t>
      </w:r>
    </w:p>
    <w:p w:rsidR="00594B59" w:rsidRDefault="00D11D2E">
      <w:pPr>
        <w:spacing w:after="0" w:line="240" w:lineRule="auto"/>
        <w:rPr>
          <w:rFonts w:eastAsiaTheme="minorHAnsi"/>
          <w:color w:val="262626" w:themeColor="text1" w:themeTint="D9"/>
          <w:szCs w:val="22"/>
        </w:rPr>
      </w:pPr>
      <w:r>
        <w:rPr>
          <w:rFonts w:eastAsiaTheme="minorHAnsi"/>
          <w:color w:val="262626" w:themeColor="text1" w:themeTint="D9"/>
          <w:szCs w:val="22"/>
        </w:rPr>
        <w:t>In sede di asseverazione sono state rilevate delle difformità tra le reciproche posizioni contabili (tra e</w:t>
      </w:r>
      <w:r>
        <w:rPr>
          <w:rFonts w:eastAsiaTheme="minorHAnsi"/>
          <w:color w:val="262626" w:themeColor="text1" w:themeTint="D9"/>
          <w:szCs w:val="22"/>
        </w:rPr>
        <w:t xml:space="preserve">nte capogruppo e l’Azienda Sociale Sud Est Milano e tra ente capogruppo e Cap Holding Spa) e sussistono discordanze tra l’asseverazione e la verifica delle operazioni infragruppo le cui motivazioni sono riportate in nota integrativa. </w:t>
      </w:r>
      <w:r w:rsidR="00F23BEE">
        <w:rPr>
          <w:rFonts w:eastAsiaTheme="minorHAnsi"/>
          <w:color w:val="262626" w:themeColor="text1" w:themeTint="D9"/>
          <w:szCs w:val="22"/>
        </w:rPr>
        <w:t xml:space="preserve"> </w:t>
      </w:r>
      <w:r>
        <w:rPr>
          <w:rFonts w:eastAsiaTheme="minorHAnsi"/>
          <w:color w:val="262626" w:themeColor="text1" w:themeTint="D9"/>
          <w:szCs w:val="22"/>
        </w:rPr>
        <w:t>Nel caso di indicazio</w:t>
      </w:r>
      <w:r>
        <w:rPr>
          <w:rFonts w:eastAsiaTheme="minorHAnsi"/>
          <w:color w:val="262626" w:themeColor="text1" w:themeTint="D9"/>
          <w:szCs w:val="22"/>
        </w:rPr>
        <w:t>ni nella nota integrativa delle motivazioni di tali difformità, l’Organo di revisione ha rilevato che:</w:t>
      </w:r>
    </w:p>
    <w:p w:rsidR="00594B59" w:rsidRDefault="00D11D2E">
      <w:pPr>
        <w:numPr>
          <w:ilvl w:val="0"/>
          <w:numId w:val="7"/>
        </w:numPr>
        <w:spacing w:after="0" w:line="240" w:lineRule="auto"/>
        <w:ind w:left="426" w:hanging="284"/>
        <w:rPr>
          <w:rFonts w:eastAsiaTheme="minorHAnsi"/>
          <w:color w:val="262626" w:themeColor="text1" w:themeTint="D9"/>
          <w:szCs w:val="22"/>
        </w:rPr>
      </w:pPr>
      <w:r>
        <w:rPr>
          <w:rFonts w:eastAsiaTheme="minorHAnsi"/>
          <w:color w:val="262626" w:themeColor="text1" w:themeTint="D9"/>
          <w:szCs w:val="22"/>
        </w:rPr>
        <w:t xml:space="preserve">è stata data esaustiva dettagliata spiegazione; </w:t>
      </w:r>
    </w:p>
    <w:p w:rsidR="00594B59" w:rsidRDefault="00D11D2E">
      <w:pPr>
        <w:numPr>
          <w:ilvl w:val="0"/>
          <w:numId w:val="7"/>
        </w:numPr>
        <w:spacing w:after="0" w:line="240" w:lineRule="auto"/>
        <w:ind w:left="426" w:hanging="284"/>
        <w:rPr>
          <w:rFonts w:eastAsiaTheme="minorHAnsi"/>
          <w:color w:val="262626" w:themeColor="text1" w:themeTint="D9"/>
          <w:szCs w:val="22"/>
        </w:rPr>
      </w:pPr>
      <w:r>
        <w:rPr>
          <w:rFonts w:eastAsiaTheme="minorHAnsi"/>
          <w:color w:val="262626" w:themeColor="text1" w:themeTint="D9"/>
          <w:szCs w:val="22"/>
        </w:rPr>
        <w:t xml:space="preserve">sono state indicate le modalità tecnico-contabili con le quali sono state riallineate le differenze riscontrate in merito alle partite reciproche; </w:t>
      </w:r>
    </w:p>
    <w:p w:rsidR="00594B59" w:rsidRDefault="00D11D2E">
      <w:pPr>
        <w:numPr>
          <w:ilvl w:val="0"/>
          <w:numId w:val="7"/>
        </w:numPr>
        <w:spacing w:after="0" w:line="240" w:lineRule="auto"/>
        <w:ind w:left="426" w:hanging="284"/>
        <w:rPr>
          <w:rFonts w:eastAsiaTheme="minorHAnsi"/>
          <w:color w:val="262626" w:themeColor="text1" w:themeTint="D9"/>
          <w:szCs w:val="22"/>
        </w:rPr>
      </w:pPr>
      <w:r>
        <w:rPr>
          <w:rFonts w:eastAsiaTheme="minorHAnsi"/>
          <w:color w:val="262626" w:themeColor="text1" w:themeTint="D9"/>
          <w:szCs w:val="22"/>
        </w:rPr>
        <w:t>sono stati adottati i provvedimenti necessari a definire le posizioni di debito e credito tra l’Ente Capogru</w:t>
      </w:r>
      <w:r>
        <w:rPr>
          <w:rFonts w:eastAsiaTheme="minorHAnsi"/>
          <w:color w:val="262626" w:themeColor="text1" w:themeTint="D9"/>
          <w:szCs w:val="22"/>
        </w:rPr>
        <w:t>ppo e i suoi componenti finalizzati al riallineamento delle partite reciproche entro la chiusura del corrente esercizio finanziario (2025);</w:t>
      </w:r>
    </w:p>
    <w:p w:rsidR="00594B59" w:rsidRDefault="00D11D2E">
      <w:pPr>
        <w:widowControl w:val="0"/>
        <w:numPr>
          <w:ilvl w:val="0"/>
          <w:numId w:val="6"/>
        </w:numPr>
        <w:spacing w:after="0" w:line="240" w:lineRule="auto"/>
        <w:ind w:left="426" w:hanging="284"/>
        <w:rPr>
          <w:rFonts w:ascii="Arial" w:eastAsiaTheme="minorHAnsi" w:hAnsi="Arial" w:cs="Arial"/>
          <w:color w:val="262626" w:themeColor="text1" w:themeTint="D9"/>
          <w:szCs w:val="22"/>
        </w:rPr>
      </w:pPr>
      <w:r>
        <w:rPr>
          <w:rFonts w:eastAsiaTheme="minorHAnsi"/>
          <w:color w:val="262626" w:themeColor="text1" w:themeTint="D9"/>
          <w:szCs w:val="22"/>
        </w:rPr>
        <w:t>sono state riportate nel bilancio consolidato le rettifiche di consolidamento di cui al punto precedente.</w:t>
      </w:r>
      <w:r>
        <w:rPr>
          <w:rFonts w:ascii="Arial" w:eastAsiaTheme="minorHAnsi" w:hAnsi="Arial" w:cs="Arial"/>
          <w:i/>
          <w:iCs/>
          <w:color w:val="262626" w:themeColor="text1" w:themeTint="D9"/>
          <w:szCs w:val="22"/>
        </w:rPr>
        <w:t xml:space="preserve"> </w:t>
      </w:r>
    </w:p>
    <w:p w:rsidR="00594B59" w:rsidRDefault="00D11D2E">
      <w:pPr>
        <w:widowControl w:val="0"/>
        <w:numPr>
          <w:ilvl w:val="0"/>
          <w:numId w:val="6"/>
        </w:numPr>
        <w:spacing w:after="0" w:line="240" w:lineRule="auto"/>
        <w:ind w:left="426" w:hanging="284"/>
        <w:rPr>
          <w:rFonts w:ascii="Arial" w:eastAsiaTheme="minorHAnsi" w:hAnsi="Arial" w:cs="Arial"/>
          <w:color w:val="262626" w:themeColor="text1" w:themeTint="D9"/>
          <w:szCs w:val="22"/>
        </w:rPr>
      </w:pPr>
      <w:r>
        <w:rPr>
          <w:rFonts w:eastAsiaTheme="minorHAnsi"/>
          <w:color w:val="262626" w:themeColor="text1" w:themeTint="D9"/>
          <w:szCs w:val="22"/>
        </w:rPr>
        <w:t xml:space="preserve">non sono </w:t>
      </w:r>
      <w:r>
        <w:rPr>
          <w:rFonts w:eastAsiaTheme="minorHAnsi"/>
          <w:color w:val="262626" w:themeColor="text1" w:themeTint="D9"/>
          <w:szCs w:val="22"/>
        </w:rPr>
        <w:t>state</w:t>
      </w:r>
      <w:r>
        <w:rPr>
          <w:rFonts w:ascii="Arial" w:eastAsiaTheme="minorHAnsi" w:hAnsi="Arial" w:cs="Arial"/>
          <w:color w:val="262626" w:themeColor="text1" w:themeTint="D9"/>
          <w:szCs w:val="22"/>
        </w:rPr>
        <w:t xml:space="preserve"> </w:t>
      </w:r>
      <w:r>
        <w:rPr>
          <w:rFonts w:eastAsiaTheme="minorHAnsi"/>
          <w:color w:val="262626" w:themeColor="text1" w:themeTint="D9"/>
          <w:szCs w:val="22"/>
        </w:rPr>
        <w:t>rilevate operazioni contabili infragruppo che l’Ente ha ritenuto irrilevanti nell’elaborazione del bilancio consolidato.</w:t>
      </w:r>
    </w:p>
    <w:p w:rsidR="00594B59" w:rsidRDefault="00D11D2E">
      <w:pPr>
        <w:widowControl w:val="0"/>
        <w:numPr>
          <w:ilvl w:val="0"/>
          <w:numId w:val="6"/>
        </w:numPr>
        <w:spacing w:after="0" w:line="240" w:lineRule="auto"/>
        <w:ind w:left="426" w:hanging="284"/>
        <w:rPr>
          <w:rFonts w:eastAsiaTheme="minorHAnsi"/>
          <w:color w:val="262626" w:themeColor="text1" w:themeTint="D9"/>
          <w:szCs w:val="22"/>
        </w:rPr>
      </w:pPr>
      <w:r>
        <w:rPr>
          <w:rFonts w:eastAsiaTheme="minorHAnsi"/>
          <w:color w:val="262626" w:themeColor="text1" w:themeTint="D9"/>
          <w:szCs w:val="22"/>
        </w:rPr>
        <w:t>la rideterminazione dei saldi ha tenuto conto, oltre che delle poste contabili tra l’Ente capogruppo e le società partecipate fac</w:t>
      </w:r>
      <w:r>
        <w:rPr>
          <w:rFonts w:eastAsiaTheme="minorHAnsi"/>
          <w:color w:val="262626" w:themeColor="text1" w:themeTint="D9"/>
          <w:szCs w:val="22"/>
        </w:rPr>
        <w:t>enti parte del consolidato (consolidamento in senso verticale), anche delle altre posizioni reciproche infragruppo (consolidamento in senso orizzontale).</w:t>
      </w:r>
    </w:p>
    <w:p w:rsidR="00594B59" w:rsidRDefault="00594B59">
      <w:pPr>
        <w:widowControl w:val="0"/>
        <w:spacing w:after="0" w:line="240" w:lineRule="auto"/>
        <w:ind w:left="426"/>
        <w:rPr>
          <w:rFonts w:eastAsiaTheme="minorHAnsi"/>
          <w:color w:val="262626" w:themeColor="text1" w:themeTint="D9"/>
          <w:szCs w:val="22"/>
        </w:rPr>
      </w:pPr>
    </w:p>
    <w:p w:rsidR="00594B59" w:rsidRDefault="00D11D2E">
      <w:pPr>
        <w:pStyle w:val="Titolo1"/>
        <w:numPr>
          <w:ilvl w:val="0"/>
          <w:numId w:val="2"/>
        </w:numPr>
        <w:spacing w:before="0" w:after="0" w:line="240" w:lineRule="auto"/>
      </w:pPr>
      <w:bookmarkStart w:id="3" w:name="_Toc207873591"/>
      <w:r>
        <w:t>Verifiche sul valore delle partecipazioni e del patrimonio netto</w:t>
      </w:r>
      <w:bookmarkEnd w:id="3"/>
    </w:p>
    <w:p w:rsidR="00594B59" w:rsidRDefault="00D11D2E">
      <w:pPr>
        <w:spacing w:after="0" w:line="240" w:lineRule="auto"/>
        <w:rPr>
          <w:color w:val="auto"/>
        </w:rPr>
      </w:pPr>
      <w:r>
        <w:t xml:space="preserve">L’Organo di revisione ha verificato </w:t>
      </w:r>
      <w:r>
        <w:t>che:</w:t>
      </w:r>
    </w:p>
    <w:p w:rsidR="00594B59" w:rsidRDefault="00D11D2E">
      <w:pPr>
        <w:widowControl w:val="0"/>
        <w:numPr>
          <w:ilvl w:val="0"/>
          <w:numId w:val="6"/>
        </w:numPr>
        <w:spacing w:after="0" w:line="240" w:lineRule="auto"/>
        <w:ind w:left="426" w:hanging="284"/>
        <w:rPr>
          <w:i/>
          <w:iCs/>
          <w:color w:val="00B0F0"/>
        </w:rPr>
      </w:pPr>
      <w:r>
        <w:t xml:space="preserve">il valore delle partecipazioni iscritte nel patrimonio dell’Ente capogruppo </w:t>
      </w:r>
      <w:r>
        <w:rPr>
          <w:b/>
          <w:bCs/>
          <w:i/>
          <w:iCs/>
        </w:rPr>
        <w:t>è stato rilevato</w:t>
      </w:r>
      <w:r>
        <w:t xml:space="preserve"> con il metodo del patrimonio netto, nel rispetto di quanto previsto dal principio contabile applicato 4/3 punto 6.1.3 già </w:t>
      </w:r>
      <w:r>
        <w:rPr>
          <w:color w:val="262626" w:themeColor="text1" w:themeTint="D9"/>
        </w:rPr>
        <w:t>alla data del rendiconto dell’eserci</w:t>
      </w:r>
      <w:r>
        <w:rPr>
          <w:color w:val="262626" w:themeColor="text1" w:themeTint="D9"/>
        </w:rPr>
        <w:t xml:space="preserve">zio 2024; </w:t>
      </w:r>
    </w:p>
    <w:p w:rsidR="00594B59" w:rsidRDefault="00D11D2E">
      <w:pPr>
        <w:widowControl w:val="0"/>
        <w:numPr>
          <w:ilvl w:val="0"/>
          <w:numId w:val="6"/>
        </w:numPr>
        <w:spacing w:after="0" w:line="240" w:lineRule="auto"/>
        <w:ind w:left="426" w:hanging="284"/>
        <w:rPr>
          <w:rFonts w:eastAsia="Times New Roman" w:cs="Arial"/>
          <w:color w:val="262626" w:themeColor="text1" w:themeTint="D9"/>
          <w:lang w:eastAsia="it-IT"/>
        </w:rPr>
      </w:pPr>
      <w:r>
        <w:rPr>
          <w:rFonts w:eastAsia="Times New Roman" w:cs="Arial"/>
          <w:color w:val="262626" w:themeColor="text1" w:themeTint="D9"/>
          <w:lang w:eastAsia="it-IT"/>
        </w:rPr>
        <w:t>le differenze di consolidamento sono state iscritte nel bilancio consolidato, in conformità a quanto disposto dal principio contabile;</w:t>
      </w:r>
    </w:p>
    <w:p w:rsidR="00594B59" w:rsidRDefault="00D11D2E">
      <w:pPr>
        <w:widowControl w:val="0"/>
        <w:numPr>
          <w:ilvl w:val="0"/>
          <w:numId w:val="6"/>
        </w:numPr>
        <w:spacing w:after="0" w:line="240" w:lineRule="auto"/>
        <w:ind w:left="426" w:hanging="284"/>
        <w:rPr>
          <w:rFonts w:eastAsia="Times New Roman" w:cs="Arial"/>
          <w:lang w:eastAsia="it-IT"/>
        </w:rPr>
      </w:pPr>
      <w:r>
        <w:rPr>
          <w:color w:val="262626" w:themeColor="text1" w:themeTint="D9"/>
        </w:rPr>
        <w:t>con riferimento all’eliminazione delle partecipazioni con la relativa quota di patrimonio netto, sono state ri</w:t>
      </w:r>
      <w:r>
        <w:rPr>
          <w:color w:val="262626" w:themeColor="text1" w:themeTint="D9"/>
        </w:rPr>
        <w:t xml:space="preserve">levate differenze che sono state iscritte tra le Riserve di Patrimonio Netto </w:t>
      </w:r>
      <w:r>
        <w:rPr>
          <w:color w:val="262626" w:themeColor="text1" w:themeTint="D9"/>
        </w:rPr>
        <w:lastRenderedPageBreak/>
        <w:t xml:space="preserve">consolidato alla voce SPP “altre riserve indisponibili”; </w:t>
      </w:r>
    </w:p>
    <w:p w:rsidR="00594B59" w:rsidRDefault="00594B59">
      <w:pPr>
        <w:widowControl w:val="0"/>
        <w:spacing w:after="0" w:line="240" w:lineRule="auto"/>
        <w:ind w:left="426"/>
        <w:rPr>
          <w:rFonts w:eastAsia="Times New Roman" w:cs="Arial"/>
          <w:lang w:eastAsia="it-IT"/>
        </w:rPr>
      </w:pPr>
    </w:p>
    <w:p w:rsidR="00594B59" w:rsidRDefault="00D11D2E">
      <w:pPr>
        <w:pStyle w:val="Titolo1"/>
        <w:numPr>
          <w:ilvl w:val="0"/>
          <w:numId w:val="2"/>
        </w:numPr>
        <w:spacing w:before="0" w:after="0" w:line="240" w:lineRule="auto"/>
      </w:pPr>
      <w:bookmarkStart w:id="4" w:name="_Toc207873592"/>
      <w:r>
        <w:t>Stato patrimoniale consolidato</w:t>
      </w:r>
      <w:bookmarkEnd w:id="4"/>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 xml:space="preserve">Nella tabella che segue sono riportati i principali dati aggregati dello Stato </w:t>
      </w:r>
      <w:r>
        <w:rPr>
          <w:rFonts w:eastAsia="Times New Roman" w:cs="Arial"/>
          <w:szCs w:val="22"/>
          <w:lang w:eastAsia="it-IT"/>
        </w:rPr>
        <w:t>Patrimoniale consolidato dell’esercizio 2024 con evidenza delle variazioni rispetto all’esercizio:</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 xml:space="preserve">nella colonna (A) i dati patrimoniali consolidati esercizio 2024; </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colonna (B) i dati patrimoniali consolidati esercizio 2023;</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colonna (C) la dif</w:t>
      </w:r>
      <w:r>
        <w:rPr>
          <w:rFonts w:eastAsia="Times New Roman" w:cs="Arial"/>
          <w:szCs w:val="22"/>
          <w:lang w:eastAsia="it-IT"/>
        </w:rPr>
        <w:t>ferenza tra la colonna (A) e la colonna (B).</w:t>
      </w:r>
    </w:p>
    <w:tbl>
      <w:tblPr>
        <w:tblW w:w="9100" w:type="dxa"/>
        <w:tblLayout w:type="fixed"/>
        <w:tblCellMar>
          <w:left w:w="70" w:type="dxa"/>
          <w:right w:w="70" w:type="dxa"/>
        </w:tblCellMar>
        <w:tblLook w:val="04A0" w:firstRow="1" w:lastRow="0" w:firstColumn="1" w:lastColumn="0" w:noHBand="0" w:noVBand="1"/>
      </w:tblPr>
      <w:tblGrid>
        <w:gridCol w:w="3823"/>
        <w:gridCol w:w="2126"/>
        <w:gridCol w:w="1702"/>
        <w:gridCol w:w="1449"/>
      </w:tblGrid>
      <w:tr w:rsidR="00594B59">
        <w:trPr>
          <w:trHeight w:val="1200"/>
        </w:trPr>
        <w:tc>
          <w:tcPr>
            <w:tcW w:w="3822"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Attivo</w:t>
            </w:r>
          </w:p>
        </w:tc>
        <w:tc>
          <w:tcPr>
            <w:tcW w:w="2126"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Stato Patrimoniale consolidato 2024                </w:t>
            </w:r>
            <w:proofErr w:type="gramStart"/>
            <w:r>
              <w:rPr>
                <w:rFonts w:ascii="Arial" w:eastAsia="Times New Roman" w:hAnsi="Arial" w:cs="Arial"/>
                <w:b/>
                <w:bCs/>
                <w:sz w:val="18"/>
                <w:szCs w:val="18"/>
                <w:lang w:eastAsia="it-IT"/>
              </w:rPr>
              <w:t xml:space="preserve">   (</w:t>
            </w:r>
            <w:proofErr w:type="gramEnd"/>
            <w:r>
              <w:rPr>
                <w:rFonts w:ascii="Arial" w:eastAsia="Times New Roman" w:hAnsi="Arial" w:cs="Arial"/>
                <w:b/>
                <w:bCs/>
                <w:sz w:val="18"/>
                <w:szCs w:val="18"/>
                <w:lang w:eastAsia="it-IT"/>
              </w:rPr>
              <w:t>A)</w:t>
            </w:r>
          </w:p>
        </w:tc>
        <w:tc>
          <w:tcPr>
            <w:tcW w:w="1702"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Stato Patrimoniale consolidato 2023 (B)</w:t>
            </w:r>
          </w:p>
        </w:tc>
        <w:tc>
          <w:tcPr>
            <w:tcW w:w="1449"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Differenza                       </w:t>
            </w:r>
            <w:proofErr w:type="gramStart"/>
            <w:r>
              <w:rPr>
                <w:rFonts w:ascii="Arial" w:eastAsia="Times New Roman" w:hAnsi="Arial" w:cs="Arial"/>
                <w:b/>
                <w:bCs/>
                <w:sz w:val="18"/>
                <w:szCs w:val="18"/>
                <w:lang w:eastAsia="it-IT"/>
              </w:rPr>
              <w:t xml:space="preserve">   (</w:t>
            </w:r>
            <w:proofErr w:type="gramEnd"/>
            <w:r>
              <w:rPr>
                <w:rFonts w:ascii="Arial" w:eastAsia="Times New Roman" w:hAnsi="Arial" w:cs="Arial"/>
                <w:b/>
                <w:bCs/>
                <w:sz w:val="18"/>
                <w:szCs w:val="18"/>
                <w:lang w:eastAsia="it-IT"/>
              </w:rPr>
              <w:t>C = A-B)</w:t>
            </w:r>
          </w:p>
        </w:tc>
      </w:tr>
      <w:tr w:rsidR="00594B59">
        <w:trPr>
          <w:trHeight w:val="495"/>
        </w:trPr>
        <w:tc>
          <w:tcPr>
            <w:tcW w:w="3822" w:type="dxa"/>
            <w:tcBorders>
              <w:top w:val="single" w:sz="4" w:space="0" w:color="000000"/>
              <w:left w:val="single" w:sz="4" w:space="0" w:color="000000"/>
              <w:bottom w:val="single" w:sz="4" w:space="0" w:color="000000"/>
            </w:tcBorders>
            <w:vAlign w:val="bottom"/>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 xml:space="preserve">Crediti vs. lo Stato ed altre </w:t>
            </w:r>
            <w:proofErr w:type="spellStart"/>
            <w:r>
              <w:rPr>
                <w:rFonts w:ascii="Arial" w:eastAsia="Times New Roman" w:hAnsi="Arial" w:cs="Arial"/>
                <w:sz w:val="18"/>
                <w:szCs w:val="18"/>
                <w:lang w:eastAsia="it-IT"/>
              </w:rPr>
              <w:t>amm</w:t>
            </w:r>
            <w:proofErr w:type="spellEnd"/>
            <w:r>
              <w:rPr>
                <w:rFonts w:ascii="Arial" w:eastAsia="Times New Roman" w:hAnsi="Arial" w:cs="Arial"/>
                <w:sz w:val="18"/>
                <w:szCs w:val="18"/>
                <w:lang w:eastAsia="it-IT"/>
              </w:rPr>
              <w:t xml:space="preserve">. </w:t>
            </w:r>
            <w:proofErr w:type="spellStart"/>
            <w:r>
              <w:rPr>
                <w:rFonts w:ascii="Arial" w:eastAsia="Times New Roman" w:hAnsi="Arial" w:cs="Arial"/>
                <w:sz w:val="18"/>
                <w:szCs w:val="18"/>
                <w:lang w:eastAsia="it-IT"/>
              </w:rPr>
              <w:t>pubb</w:t>
            </w:r>
            <w:proofErr w:type="spellEnd"/>
            <w:r>
              <w:rPr>
                <w:rFonts w:ascii="Arial" w:eastAsia="Times New Roman" w:hAnsi="Arial" w:cs="Arial"/>
                <w:sz w:val="18"/>
                <w:szCs w:val="18"/>
                <w:lang w:eastAsia="it-IT"/>
              </w:rPr>
              <w:t xml:space="preserve">. per la </w:t>
            </w:r>
            <w:r>
              <w:rPr>
                <w:rFonts w:ascii="Arial" w:eastAsia="Times New Roman" w:hAnsi="Arial" w:cs="Arial"/>
                <w:sz w:val="18"/>
                <w:szCs w:val="18"/>
                <w:lang w:eastAsia="it-IT"/>
              </w:rPr>
              <w:t>partecipazione al fondo di dotazione</w:t>
            </w:r>
          </w:p>
        </w:tc>
        <w:tc>
          <w:tcPr>
            <w:tcW w:w="2126"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8"/>
                <w:szCs w:val="18"/>
                <w:lang w:eastAsia="it-IT"/>
              </w:rPr>
            </w:pPr>
            <w:r>
              <w:rPr>
                <w:rFonts w:ascii="Arial" w:eastAsia="Times New Roman" w:hAnsi="Arial" w:cs="Arial"/>
                <w:sz w:val="18"/>
                <w:szCs w:val="18"/>
                <w:lang w:eastAsia="it-IT"/>
              </w:rPr>
              <w:t> </w:t>
            </w:r>
          </w:p>
        </w:tc>
        <w:tc>
          <w:tcPr>
            <w:tcW w:w="1702" w:type="dxa"/>
            <w:tcBorders>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8"/>
                <w:szCs w:val="18"/>
                <w:lang w:eastAsia="it-IT"/>
              </w:rPr>
            </w:pPr>
            <w:r>
              <w:rPr>
                <w:rFonts w:ascii="Arial" w:eastAsia="Times New Roman" w:hAnsi="Arial" w:cs="Arial"/>
                <w:sz w:val="18"/>
                <w:szCs w:val="18"/>
                <w:lang w:eastAsia="it-IT"/>
              </w:rPr>
              <w:t> </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0,00</w:t>
            </w:r>
          </w:p>
        </w:tc>
      </w:tr>
      <w:tr w:rsidR="00594B59">
        <w:trPr>
          <w:trHeight w:val="300"/>
        </w:trPr>
        <w:tc>
          <w:tcPr>
            <w:tcW w:w="3822"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Totale crediti vs partecipanti</w:t>
            </w:r>
          </w:p>
        </w:tc>
        <w:tc>
          <w:tcPr>
            <w:tcW w:w="2126"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0,00</w:t>
            </w:r>
          </w:p>
        </w:tc>
        <w:tc>
          <w:tcPr>
            <w:tcW w:w="170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0,00</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0,00</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Immobilizzazioni immateriali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12.621.877,48</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11.338.391,13</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1.283.486,35</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Immobilizzazioni materiali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121.443.055,14</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119.562.054,03</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1.881.001,11</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 xml:space="preserve">Immobilizzazioni </w:t>
            </w:r>
            <w:r>
              <w:rPr>
                <w:rFonts w:ascii="Arial" w:eastAsia="Times New Roman" w:hAnsi="Arial" w:cs="Arial"/>
                <w:sz w:val="18"/>
                <w:szCs w:val="18"/>
                <w:lang w:eastAsia="it-IT"/>
              </w:rPr>
              <w:t>finanziarie</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438.740,67</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461.299,90</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-22.559,23</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Totale immobilizzazioni</w:t>
            </w:r>
          </w:p>
        </w:tc>
        <w:tc>
          <w:tcPr>
            <w:tcW w:w="2126"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134.503.673,29</w:t>
            </w:r>
          </w:p>
        </w:tc>
        <w:tc>
          <w:tcPr>
            <w:tcW w:w="170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131.361.745,06</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3.141.928,23</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Rimanenze</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808.374,75</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763.044,58</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45.330,17</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Crediti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15.486.520,91</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11.437.146,96</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4.049.373,95</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 xml:space="preserve">Altre attività finanziarie che non costituiscono </w:t>
            </w:r>
            <w:r>
              <w:rPr>
                <w:rFonts w:ascii="Arial" w:eastAsia="Times New Roman" w:hAnsi="Arial" w:cs="Arial"/>
                <w:sz w:val="18"/>
                <w:szCs w:val="18"/>
                <w:lang w:eastAsia="it-IT"/>
              </w:rPr>
              <w:t>immobilizzi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0,00</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0,00</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0,00</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Disponibilità liquide</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25.528.435,78</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29.054.633,34</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-3.526.197,56</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Totale attivo circolante</w:t>
            </w:r>
          </w:p>
        </w:tc>
        <w:tc>
          <w:tcPr>
            <w:tcW w:w="2126"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41.823.331,44</w:t>
            </w:r>
          </w:p>
        </w:tc>
        <w:tc>
          <w:tcPr>
            <w:tcW w:w="170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41.254.824,88</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568.506,56</w:t>
            </w:r>
          </w:p>
        </w:tc>
      </w:tr>
      <w:tr w:rsidR="00594B59">
        <w:trPr>
          <w:trHeight w:val="300"/>
        </w:trPr>
        <w:tc>
          <w:tcPr>
            <w:tcW w:w="3822" w:type="dxa"/>
            <w:tcBorders>
              <w:top w:val="single" w:sz="4" w:space="0" w:color="000000"/>
              <w:left w:val="single" w:sz="4" w:space="0" w:color="000000"/>
              <w:bottom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Ratei e risconti</w:t>
            </w:r>
          </w:p>
        </w:tc>
        <w:tc>
          <w:tcPr>
            <w:tcW w:w="2126"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200.449,44</w:t>
            </w:r>
          </w:p>
        </w:tc>
        <w:tc>
          <w:tcPr>
            <w:tcW w:w="1702"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191.683,90</w:t>
            </w:r>
          </w:p>
        </w:tc>
        <w:tc>
          <w:tcPr>
            <w:tcW w:w="1449" w:type="dxa"/>
            <w:tcBorders>
              <w:top w:val="single" w:sz="4" w:space="0" w:color="000000"/>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8.765,54</w:t>
            </w:r>
          </w:p>
        </w:tc>
      </w:tr>
      <w:tr w:rsidR="00594B59">
        <w:trPr>
          <w:trHeight w:val="315"/>
        </w:trPr>
        <w:tc>
          <w:tcPr>
            <w:tcW w:w="3822" w:type="dxa"/>
            <w:tcBorders>
              <w:top w:val="single" w:sz="4" w:space="0" w:color="000000"/>
              <w:left w:val="single" w:sz="4" w:space="0" w:color="000000"/>
              <w:bottom w:val="double" w:sz="6" w:space="0" w:color="000000"/>
            </w:tcBorders>
            <w:vAlign w:val="center"/>
          </w:tcPr>
          <w:p w:rsidR="00594B59" w:rsidRDefault="00D11D2E">
            <w:pPr>
              <w:spacing w:after="0" w:line="240" w:lineRule="auto"/>
              <w:jc w:val="left"/>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Totale dell'attivo</w:t>
            </w:r>
          </w:p>
        </w:tc>
        <w:tc>
          <w:tcPr>
            <w:tcW w:w="2126" w:type="dxa"/>
            <w:tcBorders>
              <w:top w:val="single" w:sz="4" w:space="0" w:color="000000"/>
              <w:left w:val="single" w:sz="4" w:space="0" w:color="000000"/>
              <w:bottom w:val="double" w:sz="6"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176.527.454,17</w:t>
            </w:r>
          </w:p>
        </w:tc>
        <w:tc>
          <w:tcPr>
            <w:tcW w:w="1702" w:type="dxa"/>
            <w:tcBorders>
              <w:top w:val="single" w:sz="4" w:space="0" w:color="000000"/>
              <w:bottom w:val="double" w:sz="6"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172.808.253,84</w:t>
            </w:r>
          </w:p>
        </w:tc>
        <w:tc>
          <w:tcPr>
            <w:tcW w:w="1449" w:type="dxa"/>
            <w:tcBorders>
              <w:top w:val="single" w:sz="4" w:space="0" w:color="000000"/>
              <w:bottom w:val="double" w:sz="6"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3.719.200,33</w:t>
            </w:r>
          </w:p>
        </w:tc>
      </w:tr>
      <w:tr w:rsidR="00594B59">
        <w:trPr>
          <w:trHeight w:val="315"/>
        </w:trPr>
        <w:tc>
          <w:tcPr>
            <w:tcW w:w="3822" w:type="dxa"/>
            <w:tcBorders>
              <w:bottom w:val="single" w:sz="4" w:space="0" w:color="000000"/>
            </w:tcBorders>
            <w:vAlign w:val="bottom"/>
          </w:tcPr>
          <w:p w:rsidR="00594B59" w:rsidRDefault="00594B59">
            <w:pPr>
              <w:spacing w:after="0" w:line="240" w:lineRule="auto"/>
              <w:jc w:val="right"/>
              <w:rPr>
                <w:rFonts w:ascii="Arial" w:eastAsia="Times New Roman" w:hAnsi="Arial" w:cs="Arial"/>
                <w:b/>
                <w:bCs/>
                <w:color w:val="auto"/>
                <w:sz w:val="18"/>
                <w:szCs w:val="18"/>
                <w:lang w:eastAsia="it-IT"/>
              </w:rPr>
            </w:pPr>
          </w:p>
        </w:tc>
        <w:tc>
          <w:tcPr>
            <w:tcW w:w="2126" w:type="dxa"/>
            <w:tcBorders>
              <w:bottom w:val="single" w:sz="4" w:space="0" w:color="000000"/>
            </w:tcBorders>
            <w:vAlign w:val="center"/>
          </w:tcPr>
          <w:p w:rsidR="00594B59" w:rsidRDefault="00594B59">
            <w:pPr>
              <w:spacing w:after="0" w:line="240" w:lineRule="auto"/>
              <w:jc w:val="left"/>
              <w:rPr>
                <w:rFonts w:ascii="Times New Roman" w:eastAsia="Times New Roman" w:hAnsi="Times New Roman" w:cs="Times New Roman"/>
                <w:color w:val="auto"/>
                <w:sz w:val="20"/>
                <w:szCs w:val="20"/>
                <w:lang w:eastAsia="it-IT"/>
              </w:rPr>
            </w:pPr>
          </w:p>
        </w:tc>
        <w:tc>
          <w:tcPr>
            <w:tcW w:w="1702" w:type="dxa"/>
            <w:tcBorders>
              <w:bottom w:val="single" w:sz="4" w:space="0" w:color="000000"/>
            </w:tcBorders>
            <w:vAlign w:val="center"/>
          </w:tcPr>
          <w:p w:rsidR="00594B59" w:rsidRDefault="00594B59">
            <w:pPr>
              <w:spacing w:after="0" w:line="240" w:lineRule="auto"/>
              <w:jc w:val="right"/>
              <w:rPr>
                <w:rFonts w:ascii="Times New Roman" w:eastAsia="Times New Roman" w:hAnsi="Times New Roman" w:cs="Times New Roman"/>
                <w:color w:val="auto"/>
                <w:sz w:val="20"/>
                <w:szCs w:val="20"/>
                <w:lang w:eastAsia="it-IT"/>
              </w:rPr>
            </w:pPr>
          </w:p>
        </w:tc>
        <w:tc>
          <w:tcPr>
            <w:tcW w:w="1449"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w:t>
            </w:r>
          </w:p>
        </w:tc>
      </w:tr>
      <w:tr w:rsidR="00594B59">
        <w:trPr>
          <w:trHeight w:val="300"/>
        </w:trPr>
        <w:tc>
          <w:tcPr>
            <w:tcW w:w="3822" w:type="dxa"/>
            <w:tcBorders>
              <w:top w:val="single" w:sz="4" w:space="0" w:color="000000"/>
              <w:left w:val="single" w:sz="4" w:space="0" w:color="000000"/>
              <w:bottom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Passivo</w:t>
            </w:r>
          </w:p>
        </w:tc>
        <w:tc>
          <w:tcPr>
            <w:tcW w:w="2126" w:type="dxa"/>
            <w:tcBorders>
              <w:top w:val="single" w:sz="4" w:space="0" w:color="000000"/>
              <w:bottom w:val="single" w:sz="4" w:space="0" w:color="000000"/>
            </w:tcBorders>
            <w:vAlign w:val="center"/>
          </w:tcPr>
          <w:p w:rsidR="00594B59" w:rsidRDefault="00594B59">
            <w:pPr>
              <w:spacing w:after="0" w:line="240" w:lineRule="auto"/>
              <w:jc w:val="center"/>
              <w:rPr>
                <w:rFonts w:ascii="Arial" w:eastAsia="Times New Roman" w:hAnsi="Arial" w:cs="Arial"/>
                <w:b/>
                <w:bCs/>
                <w:i/>
                <w:iCs/>
                <w:color w:val="auto"/>
                <w:sz w:val="18"/>
                <w:szCs w:val="18"/>
                <w:lang w:eastAsia="it-IT"/>
              </w:rPr>
            </w:pPr>
          </w:p>
        </w:tc>
        <w:tc>
          <w:tcPr>
            <w:tcW w:w="1702" w:type="dxa"/>
            <w:tcBorders>
              <w:top w:val="single" w:sz="4" w:space="0" w:color="000000"/>
              <w:bottom w:val="single" w:sz="4" w:space="0" w:color="000000"/>
            </w:tcBorders>
            <w:vAlign w:val="center"/>
          </w:tcPr>
          <w:p w:rsidR="00594B59" w:rsidRDefault="00594B59">
            <w:pPr>
              <w:spacing w:after="0" w:line="240" w:lineRule="auto"/>
              <w:jc w:val="center"/>
              <w:rPr>
                <w:rFonts w:ascii="Times New Roman" w:eastAsia="Times New Roman" w:hAnsi="Times New Roman" w:cs="Times New Roman"/>
                <w:color w:val="auto"/>
                <w:sz w:val="20"/>
                <w:szCs w:val="20"/>
                <w:lang w:eastAsia="it-IT"/>
              </w:rPr>
            </w:pPr>
          </w:p>
        </w:tc>
        <w:tc>
          <w:tcPr>
            <w:tcW w:w="1449"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color w:val="auto"/>
                <w:sz w:val="18"/>
                <w:szCs w:val="18"/>
                <w:lang w:eastAsia="it-IT"/>
              </w:rPr>
            </w:pPr>
            <w:r>
              <w:rPr>
                <w:rFonts w:ascii="Arial" w:eastAsia="Times New Roman" w:hAnsi="Arial" w:cs="Arial"/>
                <w:sz w:val="18"/>
                <w:szCs w:val="18"/>
                <w:lang w:eastAsia="it-IT"/>
              </w:rPr>
              <w:t> </w:t>
            </w:r>
          </w:p>
        </w:tc>
      </w:tr>
      <w:tr w:rsidR="00594B59">
        <w:trPr>
          <w:trHeight w:val="300"/>
        </w:trPr>
        <w:tc>
          <w:tcPr>
            <w:tcW w:w="3822"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Patrimonio netto</w:t>
            </w:r>
          </w:p>
        </w:tc>
        <w:tc>
          <w:tcPr>
            <w:tcW w:w="2126"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130.064.104,13</w:t>
            </w:r>
          </w:p>
        </w:tc>
        <w:tc>
          <w:tcPr>
            <w:tcW w:w="1702" w:type="dxa"/>
            <w:tcBorders>
              <w:top w:val="single" w:sz="4" w:space="0" w:color="000000"/>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125.360.155,91</w:t>
            </w:r>
          </w:p>
        </w:tc>
        <w:tc>
          <w:tcPr>
            <w:tcW w:w="1449" w:type="dxa"/>
            <w:tcBorders>
              <w:top w:val="single" w:sz="4" w:space="0" w:color="000000"/>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4.703.948,22</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Fondo rischi e oneri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4.538.034,88</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7.100.469,70</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-2.562.434,82</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Trattamento di fine rapporto</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1.043.464,37</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980.446,54</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63.017,83</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Debiti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16.539.358,78</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17.371.703,35</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-832.344,57</w:t>
            </w:r>
          </w:p>
        </w:tc>
      </w:tr>
      <w:tr w:rsidR="00594B59">
        <w:trPr>
          <w:trHeight w:val="300"/>
        </w:trPr>
        <w:tc>
          <w:tcPr>
            <w:tcW w:w="3822"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auto"/>
                <w:sz w:val="18"/>
                <w:szCs w:val="18"/>
                <w:lang w:eastAsia="it-IT"/>
              </w:rPr>
            </w:pPr>
            <w:r>
              <w:rPr>
                <w:rFonts w:ascii="Arial" w:eastAsia="Times New Roman" w:hAnsi="Arial" w:cs="Arial"/>
                <w:sz w:val="18"/>
                <w:szCs w:val="18"/>
                <w:lang w:eastAsia="it-IT"/>
              </w:rPr>
              <w:t>Ratei, risconti e contributi agli investimenti</w:t>
            </w:r>
          </w:p>
        </w:tc>
        <w:tc>
          <w:tcPr>
            <w:tcW w:w="2126"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24.342.492,01</w:t>
            </w:r>
          </w:p>
        </w:tc>
        <w:tc>
          <w:tcPr>
            <w:tcW w:w="170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21.995.478,34</w:t>
            </w:r>
          </w:p>
        </w:tc>
        <w:tc>
          <w:tcPr>
            <w:tcW w:w="1449"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2.347.013,67</w:t>
            </w:r>
          </w:p>
        </w:tc>
      </w:tr>
      <w:tr w:rsidR="00594B59">
        <w:trPr>
          <w:trHeight w:val="300"/>
        </w:trPr>
        <w:tc>
          <w:tcPr>
            <w:tcW w:w="3822" w:type="dxa"/>
            <w:tcBorders>
              <w:left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Totale del passivo</w:t>
            </w:r>
          </w:p>
        </w:tc>
        <w:tc>
          <w:tcPr>
            <w:tcW w:w="2126" w:type="dxa"/>
            <w:tcBorders>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176.527.454,17</w:t>
            </w:r>
          </w:p>
        </w:tc>
        <w:tc>
          <w:tcPr>
            <w:tcW w:w="1702" w:type="dxa"/>
            <w:tcBorders>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172.808.253,84</w:t>
            </w:r>
          </w:p>
        </w:tc>
        <w:tc>
          <w:tcPr>
            <w:tcW w:w="1449" w:type="dxa"/>
            <w:tcBorders>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3.719.200,33</w:t>
            </w:r>
          </w:p>
        </w:tc>
      </w:tr>
      <w:tr w:rsidR="00594B59">
        <w:trPr>
          <w:trHeight w:val="300"/>
        </w:trPr>
        <w:tc>
          <w:tcPr>
            <w:tcW w:w="3822" w:type="dxa"/>
            <w:tcBorders>
              <w:top w:val="single" w:sz="4" w:space="0" w:color="000000"/>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Conti d'ordine</w:t>
            </w:r>
          </w:p>
        </w:tc>
        <w:tc>
          <w:tcPr>
            <w:tcW w:w="2126" w:type="dxa"/>
            <w:tcBorders>
              <w:top w:val="single" w:sz="4" w:space="0" w:color="000000"/>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4.436.551,41</w:t>
            </w:r>
          </w:p>
        </w:tc>
        <w:tc>
          <w:tcPr>
            <w:tcW w:w="1702" w:type="dxa"/>
            <w:tcBorders>
              <w:top w:val="single" w:sz="4" w:space="0" w:color="000000"/>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3.996.286,72</w:t>
            </w:r>
          </w:p>
        </w:tc>
        <w:tc>
          <w:tcPr>
            <w:tcW w:w="1449" w:type="dxa"/>
            <w:tcBorders>
              <w:top w:val="single" w:sz="4" w:space="0" w:color="000000"/>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440.264,69</w:t>
            </w:r>
          </w:p>
        </w:tc>
      </w:tr>
    </w:tbl>
    <w:p w:rsidR="00594B59" w:rsidRDefault="00594B59">
      <w:pPr>
        <w:spacing w:after="0" w:line="240" w:lineRule="auto"/>
        <w:jc w:val="left"/>
        <w:rPr>
          <w:rFonts w:eastAsiaTheme="minorHAnsi" w:cs="Calibri"/>
          <w:color w:val="auto"/>
          <w:szCs w:val="22"/>
        </w:rPr>
      </w:pPr>
    </w:p>
    <w:p w:rsidR="00594B59" w:rsidRDefault="00D11D2E">
      <w:pPr>
        <w:spacing w:after="0" w:line="240" w:lineRule="auto"/>
        <w:jc w:val="left"/>
        <w:rPr>
          <w:rFonts w:eastAsiaTheme="minorHAnsi" w:cs="Calibri"/>
          <w:color w:val="auto"/>
          <w:szCs w:val="22"/>
        </w:rPr>
      </w:pPr>
      <w:r>
        <w:rPr>
          <w:rFonts w:eastAsiaTheme="minorHAnsi" w:cs="Calibri"/>
          <w:szCs w:val="22"/>
        </w:rPr>
        <w:t xml:space="preserve">La verifica degli elementi </w:t>
      </w:r>
      <w:r>
        <w:rPr>
          <w:rFonts w:eastAsiaTheme="minorHAnsi" w:cs="Calibri"/>
          <w:szCs w:val="22"/>
        </w:rPr>
        <w:t>patrimoniali al 31/12/2024 ha evidenziato:</w:t>
      </w:r>
    </w:p>
    <w:p w:rsidR="00594B59" w:rsidRDefault="00D11D2E">
      <w:pPr>
        <w:tabs>
          <w:tab w:val="left" w:pos="0"/>
        </w:tabs>
        <w:spacing w:after="0" w:line="240" w:lineRule="auto"/>
        <w:jc w:val="left"/>
        <w:rPr>
          <w:rFonts w:eastAsiaTheme="minorHAnsi" w:cs="Calibri"/>
          <w:b/>
          <w:iCs/>
          <w:color w:val="auto"/>
          <w:szCs w:val="22"/>
          <w:u w:val="single"/>
        </w:rPr>
      </w:pPr>
      <w:r>
        <w:rPr>
          <w:rFonts w:eastAsiaTheme="minorHAnsi" w:cs="Calibri"/>
          <w:b/>
          <w:iCs/>
          <w:szCs w:val="22"/>
          <w:u w:val="single"/>
        </w:rPr>
        <w:t>ATTIVO</w:t>
      </w:r>
    </w:p>
    <w:p w:rsidR="00594B59" w:rsidRDefault="00D11D2E">
      <w:pPr>
        <w:tabs>
          <w:tab w:val="left" w:pos="0"/>
        </w:tabs>
        <w:spacing w:after="0" w:line="240" w:lineRule="auto"/>
        <w:rPr>
          <w:rFonts w:eastAsiaTheme="minorHAnsi" w:cs="Calibri"/>
          <w:iCs/>
          <w:color w:val="auto"/>
          <w:szCs w:val="22"/>
        </w:rPr>
      </w:pPr>
      <w:r>
        <w:rPr>
          <w:rFonts w:eastAsiaTheme="minorHAnsi" w:cs="Calibri"/>
          <w:iCs/>
          <w:szCs w:val="22"/>
        </w:rPr>
        <w:t>Il totale dell'attivo consolidato, pari a euro 176.527.454,17, mostra un incremento rispetto all'esercizio precedente di euro 3.719.200,33 principalmente per effetto dell'incremento delle immobilizzazioni d</w:t>
      </w:r>
      <w:r>
        <w:rPr>
          <w:rFonts w:eastAsiaTheme="minorHAnsi" w:cs="Calibri"/>
          <w:iCs/>
          <w:szCs w:val="22"/>
        </w:rPr>
        <w:t xml:space="preserve">i euro 3.141.928,23, dell'attivo circolante di euro 568.506,56 e dei ratei e risconti di euro 8.765,54.    </w:t>
      </w:r>
    </w:p>
    <w:p w:rsidR="00594B59" w:rsidRDefault="00D11D2E">
      <w:pPr>
        <w:tabs>
          <w:tab w:val="left" w:pos="0"/>
        </w:tabs>
        <w:spacing w:after="0" w:line="240" w:lineRule="auto"/>
        <w:rPr>
          <w:rFonts w:eastAsiaTheme="minorHAnsi" w:cs="Calibri"/>
          <w:iCs/>
          <w:color w:val="auto"/>
          <w:szCs w:val="22"/>
        </w:rPr>
      </w:pPr>
      <w:r>
        <w:rPr>
          <w:rFonts w:eastAsiaTheme="minorHAnsi" w:cs="Calibri"/>
          <w:iCs/>
          <w:szCs w:val="22"/>
        </w:rPr>
        <w:t xml:space="preserve">Il totale delle immobilizzazioni è pari a euro 134.503.673,29 che rispetto al totale dell’anno 2023 di euro 131.361.745,06 evidenzia un incremento </w:t>
      </w:r>
      <w:r>
        <w:rPr>
          <w:rFonts w:eastAsiaTheme="minorHAnsi" w:cs="Calibri"/>
          <w:iCs/>
          <w:szCs w:val="22"/>
        </w:rPr>
        <w:t xml:space="preserve">di euro 3.141.928,23. </w:t>
      </w:r>
    </w:p>
    <w:p w:rsidR="00594B59" w:rsidRDefault="00D11D2E">
      <w:pPr>
        <w:tabs>
          <w:tab w:val="left" w:pos="0"/>
        </w:tabs>
        <w:spacing w:after="120" w:line="259" w:lineRule="auto"/>
        <w:rPr>
          <w:rFonts w:eastAsiaTheme="minorHAnsi" w:cs="Calibri"/>
          <w:iCs/>
          <w:color w:val="auto"/>
          <w:szCs w:val="22"/>
        </w:rPr>
      </w:pPr>
      <w:r>
        <w:rPr>
          <w:rFonts w:eastAsiaTheme="minorHAnsi" w:cs="Calibri"/>
          <w:iCs/>
          <w:szCs w:val="22"/>
        </w:rPr>
        <w:t>Le variazioni sono dettagliate come segue:</w:t>
      </w: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lastRenderedPageBreak/>
        <w:t>Immobilizzazioni immateriali</w:t>
      </w:r>
    </w:p>
    <w:p w:rsidR="00594B59" w:rsidRDefault="00D11D2E">
      <w:pPr>
        <w:pStyle w:val="Standard"/>
        <w:tabs>
          <w:tab w:val="left" w:pos="0"/>
        </w:tabs>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Il valore complessivo è pari a euro 12.621.877,48. Sono iscritte nell'attivo dello  Stato Patrimoniale consolidato al netto degli ammortamenti e delle </w:t>
      </w:r>
      <w:r>
        <w:rPr>
          <w:rFonts w:eastAsiaTheme="minorHAnsi" w:cs="Calibri"/>
          <w:iCs/>
          <w:color w:val="404040" w:themeColor="text1" w:themeTint="BF"/>
          <w:kern w:val="0"/>
          <w:szCs w:val="22"/>
        </w:rPr>
        <w:t>svalutazioni e registrano un incremento complessivo di euro 1.283.486,35 rispetto al 2023 quasi interamente ascrivibile al bilancio del Gruppo CAP per la voce “Concessioni, licenze, marchi e diritti simile”  che rappresenta il diritto del Gruppo CAP ad uti</w:t>
      </w:r>
      <w:r>
        <w:rPr>
          <w:rFonts w:eastAsiaTheme="minorHAnsi" w:cs="Calibri"/>
          <w:iCs/>
          <w:color w:val="404040" w:themeColor="text1" w:themeTint="BF"/>
          <w:kern w:val="0"/>
          <w:szCs w:val="22"/>
        </w:rPr>
        <w:t>lizzare i beni in concessione del Servizio Idrico Integrato in considerazione dei costi sostenuti per la progettazione e la costruzione del bene con obbligo di restituzione al termine della concessione e  per la voce “Immobilizzazioni in corso e acconti”;</w:t>
      </w:r>
    </w:p>
    <w:p w:rsidR="00594B59" w:rsidRDefault="00594B59">
      <w:pPr>
        <w:tabs>
          <w:tab w:val="left" w:pos="0"/>
        </w:tabs>
        <w:spacing w:after="0" w:line="240" w:lineRule="auto"/>
        <w:rPr>
          <w:rFonts w:eastAsiaTheme="minorHAnsi" w:cs="Calibri"/>
          <w:i/>
          <w:iCs/>
          <w:color w:val="auto"/>
          <w:szCs w:val="22"/>
          <w:u w:val="single"/>
        </w:rPr>
      </w:pP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t>Immobilizzazioni materiali</w:t>
      </w:r>
    </w:p>
    <w:p w:rsidR="00594B59" w:rsidRDefault="00D11D2E">
      <w:pPr>
        <w:tabs>
          <w:tab w:val="left" w:pos="0"/>
        </w:tabs>
        <w:spacing w:after="0" w:line="240" w:lineRule="auto"/>
        <w:rPr>
          <w:rFonts w:eastAsiaTheme="minorHAnsi" w:cs="Calibri"/>
          <w:iCs/>
          <w:color w:val="auto"/>
          <w:szCs w:val="22"/>
        </w:rPr>
      </w:pPr>
      <w:r>
        <w:rPr>
          <w:rFonts w:eastAsiaTheme="minorHAnsi" w:cs="Calibri"/>
          <w:iCs/>
          <w:szCs w:val="22"/>
        </w:rPr>
        <w:t>Il valore complessivo è pari a euro 121.443.055,14. Registrano un incremento rispetto al 2023 per euro 1.881.001,11.  Sono iscritte al netto dei corrispondenti fondi ammortamento. L’importo più rilevante è rappresentato dai valori della Capogruppo per comp</w:t>
      </w:r>
      <w:r>
        <w:rPr>
          <w:rFonts w:eastAsiaTheme="minorHAnsi" w:cs="Calibri"/>
          <w:iCs/>
          <w:szCs w:val="22"/>
        </w:rPr>
        <w:t xml:space="preserve">lessivi euro 119.580.508,99, seguono l’Azienda Comunale Farmacie con euro 1.524.733,00, Gruppo Cap con euro 300.411,11, Azienda sociale Sud Est Milano con euro 16.858,96, CUBI con euro 13.230,66 e Afol Metropolitana con euro 7.312,42; </w:t>
      </w:r>
    </w:p>
    <w:p w:rsidR="00594B59" w:rsidRDefault="00594B59">
      <w:pPr>
        <w:tabs>
          <w:tab w:val="left" w:pos="0"/>
        </w:tabs>
        <w:spacing w:after="0" w:line="240" w:lineRule="auto"/>
        <w:rPr>
          <w:rFonts w:eastAsiaTheme="minorHAnsi" w:cs="Calibri"/>
          <w:i/>
          <w:iCs/>
          <w:color w:val="auto"/>
          <w:szCs w:val="22"/>
          <w:u w:val="single"/>
        </w:rPr>
      </w:pPr>
    </w:p>
    <w:p w:rsidR="00594B59" w:rsidRDefault="00D11D2E">
      <w:pPr>
        <w:tabs>
          <w:tab w:val="left" w:pos="0"/>
        </w:tabs>
        <w:spacing w:after="0" w:line="240" w:lineRule="auto"/>
        <w:rPr>
          <w:rFonts w:eastAsiaTheme="minorHAnsi" w:cs="Calibri"/>
          <w:iCs/>
          <w:color w:val="auto"/>
          <w:szCs w:val="22"/>
        </w:rPr>
      </w:pPr>
      <w:r>
        <w:rPr>
          <w:rFonts w:eastAsiaTheme="minorHAnsi" w:cs="Calibri"/>
          <w:i/>
          <w:iCs/>
          <w:szCs w:val="22"/>
          <w:u w:val="single"/>
        </w:rPr>
        <w:t>Immobilizzazioni fi</w:t>
      </w:r>
      <w:r>
        <w:rPr>
          <w:rFonts w:eastAsiaTheme="minorHAnsi" w:cs="Calibri"/>
          <w:i/>
          <w:iCs/>
          <w:szCs w:val="22"/>
          <w:u w:val="single"/>
        </w:rPr>
        <w:t>nanziarie</w:t>
      </w:r>
    </w:p>
    <w:p w:rsidR="00594B59" w:rsidRDefault="00D11D2E">
      <w:pPr>
        <w:tabs>
          <w:tab w:val="left" w:pos="0"/>
        </w:tabs>
        <w:spacing w:after="0" w:line="240" w:lineRule="auto"/>
        <w:rPr>
          <w:rFonts w:eastAsiaTheme="minorHAnsi" w:cs="Calibri"/>
          <w:iCs/>
          <w:color w:val="auto"/>
          <w:szCs w:val="22"/>
        </w:rPr>
      </w:pPr>
      <w:r>
        <w:rPr>
          <w:rFonts w:eastAsiaTheme="minorHAnsi" w:cs="Calibri"/>
          <w:iCs/>
          <w:szCs w:val="22"/>
        </w:rPr>
        <w:t>Il valore complessivo è pari a euro 438.740,67 e registrano un decremento di euro 22.559,23 rispetto al dato del precedente esercizio. Le partecipazioni sono relative in particolare al valore di euro 181.570,58 iscritto nel bilancio della capogru</w:t>
      </w:r>
      <w:r>
        <w:rPr>
          <w:rFonts w:eastAsiaTheme="minorHAnsi" w:cs="Calibri"/>
          <w:iCs/>
          <w:szCs w:val="22"/>
        </w:rPr>
        <w:t xml:space="preserve">ppo relativamente alla società Rocca Brivio Sforza </w:t>
      </w:r>
      <w:proofErr w:type="spellStart"/>
      <w:r>
        <w:rPr>
          <w:rFonts w:eastAsiaTheme="minorHAnsi" w:cs="Calibri"/>
          <w:iCs/>
          <w:szCs w:val="22"/>
        </w:rPr>
        <w:t>Srl</w:t>
      </w:r>
      <w:proofErr w:type="spellEnd"/>
      <w:r>
        <w:rPr>
          <w:rFonts w:eastAsiaTheme="minorHAnsi" w:cs="Calibri"/>
          <w:iCs/>
          <w:szCs w:val="22"/>
        </w:rPr>
        <w:t xml:space="preserve"> in liquidazione, esclusa dal consolidamento e di euro 247.254,04 per Gruppo CAP. I crediti verso imprese partecipate e altri soggetti sono pari a complessivi euro 9.916,05 con una lieve variazione posi</w:t>
      </w:r>
      <w:r>
        <w:rPr>
          <w:rFonts w:eastAsiaTheme="minorHAnsi" w:cs="Calibri"/>
          <w:iCs/>
          <w:szCs w:val="22"/>
        </w:rPr>
        <w:t>tiva rispetto all'esercizio precedente per euro 47,53. Sono riconducibili al Gruppo CAP per euro 9.036,60 ad Afol Metropolitana per euro 349,45 ed infine ad Azienda Comunale Farmacie per euro 530,00;</w:t>
      </w:r>
    </w:p>
    <w:p w:rsidR="00594B59" w:rsidRDefault="00594B59">
      <w:pPr>
        <w:tabs>
          <w:tab w:val="left" w:pos="0"/>
        </w:tabs>
        <w:spacing w:after="0" w:line="240" w:lineRule="auto"/>
        <w:rPr>
          <w:rFonts w:eastAsiaTheme="minorHAnsi" w:cs="Calibri"/>
          <w:i/>
          <w:iCs/>
          <w:color w:val="auto"/>
          <w:szCs w:val="22"/>
          <w:u w:val="single"/>
        </w:rPr>
      </w:pP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t xml:space="preserve">Crediti </w:t>
      </w:r>
    </w:p>
    <w:p w:rsidR="00594B59" w:rsidRDefault="00D11D2E">
      <w:pPr>
        <w:tabs>
          <w:tab w:val="left" w:pos="0"/>
        </w:tabs>
        <w:spacing w:after="0" w:line="240" w:lineRule="auto"/>
        <w:jc w:val="left"/>
        <w:textAlignment w:val="baseline"/>
        <w:rPr>
          <w:rFonts w:eastAsia="SimSun" w:cs="Calibri"/>
          <w:iCs/>
          <w:color w:val="00000A"/>
          <w:kern w:val="2"/>
          <w:szCs w:val="22"/>
        </w:rPr>
      </w:pPr>
      <w:r>
        <w:rPr>
          <w:rFonts w:eastAsia="SimSun" w:cs="Calibri"/>
          <w:iCs/>
          <w:kern w:val="2"/>
          <w:szCs w:val="22"/>
        </w:rPr>
        <w:t>Il valore complessivo pari a euro 15.486.520,9</w:t>
      </w:r>
      <w:r>
        <w:rPr>
          <w:rFonts w:eastAsia="SimSun" w:cs="Calibri"/>
          <w:iCs/>
          <w:kern w:val="2"/>
          <w:szCs w:val="22"/>
        </w:rPr>
        <w:t>1</w:t>
      </w:r>
      <w:r>
        <w:rPr>
          <w:rFonts w:eastAsia="SimSun" w:cs="Calibri"/>
          <w:bCs/>
          <w:iCs/>
          <w:kern w:val="2"/>
          <w:szCs w:val="22"/>
        </w:rPr>
        <w:t xml:space="preserve"> registra un incremento di euro 4.049.373,95 rispetto al 2023.</w:t>
      </w:r>
      <w:r>
        <w:rPr>
          <w:rFonts w:eastAsia="SimSun" w:cs="Calibri"/>
          <w:iCs/>
          <w:kern w:val="2"/>
          <w:szCs w:val="22"/>
        </w:rPr>
        <w:t xml:space="preserve"> Si evidenziano le voci più significative:</w:t>
      </w:r>
    </w:p>
    <w:p w:rsidR="00594B59" w:rsidRDefault="00D11D2E">
      <w:pPr>
        <w:widowControl w:val="0"/>
        <w:numPr>
          <w:ilvl w:val="0"/>
          <w:numId w:val="11"/>
        </w:numPr>
        <w:spacing w:after="0" w:line="240" w:lineRule="auto"/>
        <w:textAlignment w:val="baseline"/>
        <w:rPr>
          <w:rFonts w:eastAsia="SimSun" w:cs="Calibri"/>
          <w:iCs/>
          <w:color w:val="auto"/>
          <w:kern w:val="2"/>
          <w:szCs w:val="22"/>
        </w:rPr>
      </w:pPr>
      <w:r>
        <w:rPr>
          <w:rFonts w:eastAsia="SimSun" w:cs="Calibri"/>
          <w:iCs/>
          <w:kern w:val="2"/>
          <w:szCs w:val="22"/>
        </w:rPr>
        <w:t>“Altri crediti da tributi” del valore di euro 2.601.770,22 così composti: euro 2.459.664,67 per la Capogruppo ed euro 142.105,55 per l’Azienda Sociale</w:t>
      </w:r>
      <w:r>
        <w:rPr>
          <w:rFonts w:eastAsia="SimSun" w:cs="Calibri"/>
          <w:iCs/>
          <w:kern w:val="2"/>
          <w:szCs w:val="22"/>
        </w:rPr>
        <w:t xml:space="preserve"> Sud Est Milano. Rispetto all’esercizio 2023 si registra un incremento di euro 1.074.583,47 da imputare quasi integralmente al bilancio comunale.</w:t>
      </w:r>
    </w:p>
    <w:p w:rsidR="00594B59" w:rsidRDefault="00D11D2E">
      <w:pPr>
        <w:widowControl w:val="0"/>
        <w:numPr>
          <w:ilvl w:val="0"/>
          <w:numId w:val="14"/>
        </w:numPr>
        <w:tabs>
          <w:tab w:val="left" w:pos="0"/>
        </w:tabs>
        <w:spacing w:after="0" w:line="240" w:lineRule="auto"/>
        <w:textAlignment w:val="baseline"/>
        <w:rPr>
          <w:rFonts w:eastAsia="SimSun" w:cs="Calibri"/>
          <w:iCs/>
          <w:color w:val="00000A"/>
          <w:kern w:val="2"/>
          <w:szCs w:val="22"/>
        </w:rPr>
      </w:pPr>
      <w:r>
        <w:rPr>
          <w:rFonts w:eastAsia="SimSun" w:cs="Calibri"/>
          <w:iCs/>
          <w:kern w:val="2"/>
          <w:szCs w:val="22"/>
        </w:rPr>
        <w:t>“Crediti per trasferimenti e contributi” del valore di euro 3.489.372,11 da imputare alla Capogruppo per l’imp</w:t>
      </w:r>
      <w:r>
        <w:rPr>
          <w:rFonts w:eastAsia="SimSun" w:cs="Calibri"/>
          <w:iCs/>
          <w:kern w:val="2"/>
          <w:szCs w:val="22"/>
        </w:rPr>
        <w:t xml:space="preserve">orto di euro 3.482.872,56 e al Gruppo Cap per euro 6.499,55. </w:t>
      </w:r>
      <w:r>
        <w:rPr>
          <w:rFonts w:eastAsia="SimSun" w:cs="Calibri"/>
          <w:bCs/>
          <w:iCs/>
          <w:kern w:val="2"/>
          <w:szCs w:val="22"/>
        </w:rPr>
        <w:t>Si rileva un incremento pari a euro 698.670,58 rispetto al valore dell'esercizio precedente ascrivibile integralmente al bilancio comunale;</w:t>
      </w:r>
    </w:p>
    <w:p w:rsidR="00594B59" w:rsidRDefault="00D11D2E">
      <w:pPr>
        <w:widowControl w:val="0"/>
        <w:numPr>
          <w:ilvl w:val="0"/>
          <w:numId w:val="15"/>
        </w:numPr>
        <w:tabs>
          <w:tab w:val="left" w:pos="0"/>
        </w:tabs>
        <w:spacing w:after="0" w:line="240" w:lineRule="auto"/>
        <w:textAlignment w:val="baseline"/>
        <w:rPr>
          <w:rFonts w:eastAsia="SimSun" w:cs="Calibri"/>
          <w:iCs/>
          <w:color w:val="00000A"/>
          <w:kern w:val="2"/>
          <w:szCs w:val="22"/>
        </w:rPr>
      </w:pPr>
      <w:r>
        <w:rPr>
          <w:rFonts w:eastAsia="SimSun" w:cs="Calibri"/>
          <w:iCs/>
          <w:kern w:val="2"/>
          <w:szCs w:val="22"/>
        </w:rPr>
        <w:t>“Crediti verso clienti e utenti” pari a euro 7.607.601,</w:t>
      </w:r>
      <w:r>
        <w:rPr>
          <w:rFonts w:eastAsia="SimSun" w:cs="Calibri"/>
          <w:iCs/>
          <w:kern w:val="2"/>
          <w:szCs w:val="22"/>
        </w:rPr>
        <w:t xml:space="preserve">12 di cui euro 3.327.809,71 da attribuire al Comune, euro 3.900.113,36 in capo al Gruppo Cap, euro 299.590,00 per Azienda Comunale Farmacie, euro 76.061,23 per Afol Metropolitana ed euro 4.026,82 per Cubi – Culture Biblioteche in Rete. </w:t>
      </w:r>
      <w:r>
        <w:rPr>
          <w:rFonts w:eastAsia="SimSun" w:cs="Calibri"/>
          <w:bCs/>
          <w:iCs/>
          <w:kern w:val="2"/>
          <w:szCs w:val="22"/>
        </w:rPr>
        <w:t>L'incremento rispett</w:t>
      </w:r>
      <w:r>
        <w:rPr>
          <w:rFonts w:eastAsia="SimSun" w:cs="Calibri"/>
          <w:bCs/>
          <w:iCs/>
          <w:kern w:val="2"/>
          <w:szCs w:val="22"/>
        </w:rPr>
        <w:t>o all'anno 2023 è pari a euro 2.167.420,60 da attribuire principalmente al Comune e al Gruppo CAP;</w:t>
      </w:r>
    </w:p>
    <w:p w:rsidR="00594B59" w:rsidRDefault="00D11D2E">
      <w:pPr>
        <w:widowControl w:val="0"/>
        <w:numPr>
          <w:ilvl w:val="0"/>
          <w:numId w:val="16"/>
        </w:numPr>
        <w:tabs>
          <w:tab w:val="left" w:pos="0"/>
        </w:tabs>
        <w:spacing w:after="0" w:line="240" w:lineRule="auto"/>
        <w:textAlignment w:val="baseline"/>
        <w:rPr>
          <w:rFonts w:eastAsia="SimSun" w:cs="Calibri"/>
          <w:iCs/>
          <w:color w:val="00000A"/>
          <w:kern w:val="2"/>
          <w:szCs w:val="22"/>
        </w:rPr>
      </w:pPr>
      <w:r>
        <w:rPr>
          <w:rFonts w:eastAsia="SimSun" w:cs="Calibri"/>
          <w:iCs/>
          <w:kern w:val="2"/>
          <w:szCs w:val="22"/>
        </w:rPr>
        <w:t xml:space="preserve">“Altri crediti” per euro 1.787.777,46 di cui euro 661.708,59 per Gruppo Cap, euro 1.068.617,70 per A.S.S.E.MI., euro 3.436,15 per il Comune, euro 46.242,00 </w:t>
      </w:r>
      <w:r>
        <w:rPr>
          <w:rFonts w:eastAsia="SimSun" w:cs="Calibri"/>
          <w:iCs/>
          <w:kern w:val="2"/>
          <w:szCs w:val="22"/>
        </w:rPr>
        <w:t>per Azienda Comunale Farmacie, euro 4.696,69 per Afol Metropolitana ed infine euro 3.076,33 per Cubi – Culture Biblioteche in Rete;</w:t>
      </w:r>
    </w:p>
    <w:p w:rsidR="00594B59" w:rsidRDefault="00D11D2E">
      <w:pPr>
        <w:tabs>
          <w:tab w:val="left" w:pos="0"/>
        </w:tabs>
        <w:spacing w:after="0" w:line="240" w:lineRule="auto"/>
        <w:rPr>
          <w:rFonts w:eastAsiaTheme="minorHAnsi" w:cs="Calibri"/>
          <w:iCs/>
          <w:color w:val="auto"/>
          <w:szCs w:val="22"/>
        </w:rPr>
      </w:pPr>
      <w:r>
        <w:rPr>
          <w:rFonts w:eastAsiaTheme="minorHAnsi" w:cs="Calibri"/>
          <w:iCs/>
          <w:szCs w:val="22"/>
        </w:rPr>
        <w:t>I crediti con esigibilità superiore a 5 anni sono, per euro 911.220,00, di pertinenza del Gruppo Cap ed incidono sul bilanci</w:t>
      </w:r>
      <w:r>
        <w:rPr>
          <w:rFonts w:eastAsiaTheme="minorHAnsi" w:cs="Calibri"/>
          <w:iCs/>
          <w:szCs w:val="22"/>
        </w:rPr>
        <w:t xml:space="preserve">o consolidato per euro 11.155,15 (quota corrispondente all’1,2242% di euro </w:t>
      </w:r>
      <w:r>
        <w:rPr>
          <w:rFonts w:eastAsiaTheme="minorHAnsi" w:cs="Calibri"/>
          <w:iCs/>
          <w:szCs w:val="22"/>
        </w:rPr>
        <w:lastRenderedPageBreak/>
        <w:t>911.220). Sono relativi a crediti per acquisto ramo d’azienda e altri crediti (risconti attivi). Per euro 1.025.048,59 sono da attribuire al Comune e riguardano principalmente entra</w:t>
      </w:r>
      <w:r>
        <w:rPr>
          <w:rFonts w:eastAsiaTheme="minorHAnsi" w:cs="Calibri"/>
          <w:iCs/>
          <w:szCs w:val="22"/>
        </w:rPr>
        <w:t>te correnti di natura tributaria nella misura di euro 1.016.292,04 ed euro 8.756,55 di natura extratributaria. I crediti con esigibilità superiore a 5 anni del Comune sono indicati al lordo del Fondo Svalutazione Crediti.</w:t>
      </w:r>
    </w:p>
    <w:p w:rsidR="00594B59" w:rsidRDefault="00594B59">
      <w:pPr>
        <w:tabs>
          <w:tab w:val="left" w:pos="0"/>
        </w:tabs>
        <w:spacing w:after="0" w:line="240" w:lineRule="auto"/>
        <w:rPr>
          <w:rFonts w:eastAsiaTheme="minorHAnsi" w:cs="Calibri"/>
          <w:iCs/>
          <w:color w:val="auto"/>
          <w:szCs w:val="22"/>
        </w:rPr>
      </w:pPr>
    </w:p>
    <w:p w:rsidR="00594B59" w:rsidRDefault="00D11D2E">
      <w:pPr>
        <w:tabs>
          <w:tab w:val="left" w:pos="0"/>
        </w:tabs>
        <w:spacing w:after="0" w:line="240" w:lineRule="auto"/>
        <w:rPr>
          <w:rFonts w:eastAsiaTheme="minorHAnsi" w:cs="Calibri"/>
          <w:iCs/>
          <w:color w:val="auto"/>
          <w:szCs w:val="22"/>
        </w:rPr>
      </w:pPr>
      <w:r>
        <w:rPr>
          <w:rFonts w:eastAsiaTheme="minorHAnsi" w:cs="Calibri"/>
          <w:i/>
          <w:iCs/>
          <w:szCs w:val="22"/>
          <w:u w:val="single"/>
        </w:rPr>
        <w:t>Disponibilità liquide</w:t>
      </w:r>
    </w:p>
    <w:p w:rsidR="00594B59" w:rsidRDefault="00D11D2E">
      <w:pPr>
        <w:pStyle w:val="Standard"/>
        <w:tabs>
          <w:tab w:val="left" w:pos="0"/>
        </w:tabs>
        <w:spacing w:after="0" w:line="240" w:lineRule="auto"/>
        <w:rPr>
          <w:rFonts w:cs="Calibri"/>
          <w:color w:val="00000A"/>
          <w:szCs w:val="22"/>
        </w:rPr>
      </w:pPr>
      <w:r>
        <w:rPr>
          <w:rFonts w:cs="Calibri"/>
          <w:color w:val="404040" w:themeColor="text1" w:themeTint="BF"/>
          <w:szCs w:val="22"/>
        </w:rPr>
        <w:t>Le disponib</w:t>
      </w:r>
      <w:r>
        <w:rPr>
          <w:rFonts w:cs="Calibri"/>
          <w:color w:val="404040" w:themeColor="text1" w:themeTint="BF"/>
          <w:szCs w:val="22"/>
        </w:rPr>
        <w:t xml:space="preserve">ilità liquide ammontano a euro 25.528.435,78 </w:t>
      </w:r>
      <w:r>
        <w:rPr>
          <w:rFonts w:cs="Calibri"/>
          <w:bCs/>
          <w:color w:val="404040" w:themeColor="text1" w:themeTint="BF"/>
          <w:szCs w:val="22"/>
        </w:rPr>
        <w:t>con un decremento di euro 3.526.197,56 rispetto al precedente esercizio. S</w:t>
      </w:r>
      <w:r>
        <w:rPr>
          <w:rFonts w:cs="Calibri"/>
          <w:color w:val="404040" w:themeColor="text1" w:themeTint="BF"/>
          <w:szCs w:val="22"/>
        </w:rPr>
        <w:t>ono così costituite da:</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21.816.056,19 per il Comune;</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1.752.208,73 per Azienda Sociale Sud Est Milano;</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 xml:space="preserve">Euro 1.037.551,31 per </w:t>
      </w:r>
      <w:r>
        <w:rPr>
          <w:rFonts w:eastAsiaTheme="minorHAnsi" w:cs="Calibri"/>
          <w:iCs/>
          <w:szCs w:val="22"/>
        </w:rPr>
        <w:t>Gruppo Cap;</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33.504,35 per Afol Metropolitana</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864.241,00 per Azienda Comunale Farmacie;</w:t>
      </w:r>
    </w:p>
    <w:p w:rsidR="00594B59" w:rsidRDefault="00D11D2E">
      <w:pPr>
        <w:numPr>
          <w:ilvl w:val="0"/>
          <w:numId w:val="8"/>
        </w:numPr>
        <w:tabs>
          <w:tab w:val="left" w:pos="0"/>
        </w:tabs>
        <w:spacing w:after="120" w:line="240" w:lineRule="auto"/>
        <w:jc w:val="left"/>
        <w:rPr>
          <w:rFonts w:eastAsiaTheme="minorHAnsi" w:cs="Calibri"/>
          <w:iCs/>
          <w:color w:val="auto"/>
          <w:szCs w:val="22"/>
        </w:rPr>
      </w:pPr>
      <w:r>
        <w:rPr>
          <w:rFonts w:eastAsiaTheme="minorHAnsi" w:cs="Calibri"/>
          <w:iCs/>
          <w:szCs w:val="22"/>
        </w:rPr>
        <w:t>Euro 24.874,20 per CUBI Biblioteche In Rete;</w:t>
      </w: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t xml:space="preserve">Ratei, risconti </w:t>
      </w:r>
    </w:p>
    <w:p w:rsidR="00594B59" w:rsidRDefault="00D11D2E">
      <w:pPr>
        <w:tabs>
          <w:tab w:val="left" w:pos="0"/>
        </w:tabs>
        <w:spacing w:after="0" w:line="240" w:lineRule="auto"/>
        <w:rPr>
          <w:rFonts w:eastAsiaTheme="minorHAnsi" w:cs="Calibri"/>
          <w:i/>
          <w:iCs/>
          <w:color w:val="auto"/>
          <w:szCs w:val="22"/>
          <w:u w:val="single"/>
        </w:rPr>
      </w:pPr>
      <w:r>
        <w:rPr>
          <w:rFonts w:eastAsia="Times New Roman" w:cs="Calibri"/>
          <w:szCs w:val="22"/>
          <w:lang w:val="x-none" w:eastAsia="x-none"/>
        </w:rPr>
        <w:t xml:space="preserve">Tale voce ammonta a euro </w:t>
      </w:r>
      <w:r>
        <w:rPr>
          <w:rFonts w:eastAsia="Times New Roman" w:cs="Calibri"/>
          <w:szCs w:val="22"/>
          <w:lang w:eastAsia="x-none"/>
        </w:rPr>
        <w:t>200.449,44</w:t>
      </w:r>
      <w:r>
        <w:rPr>
          <w:rFonts w:eastAsia="Times New Roman" w:cs="Calibri"/>
          <w:szCs w:val="22"/>
          <w:lang w:val="x-none" w:eastAsia="x-none"/>
        </w:rPr>
        <w:t xml:space="preserve"> e si riferisce principalmente a:</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55.818,60 per Azienda S</w:t>
      </w:r>
      <w:r>
        <w:rPr>
          <w:rFonts w:eastAsiaTheme="minorHAnsi" w:cs="Calibri"/>
          <w:iCs/>
          <w:szCs w:val="22"/>
        </w:rPr>
        <w:t>ociale Sud Est Milano;</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71.858,69 per Gruppo Cap;</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296,31 per Afol Metropolitana</w:t>
      </w:r>
    </w:p>
    <w:p w:rsidR="00594B59" w:rsidRDefault="00D11D2E">
      <w:pPr>
        <w:numPr>
          <w:ilvl w:val="0"/>
          <w:numId w:val="8"/>
        </w:numPr>
        <w:tabs>
          <w:tab w:val="left" w:pos="0"/>
        </w:tabs>
        <w:spacing w:after="0" w:line="240" w:lineRule="auto"/>
        <w:ind w:left="714" w:hanging="357"/>
        <w:jc w:val="left"/>
        <w:rPr>
          <w:rFonts w:eastAsiaTheme="minorHAnsi" w:cs="Calibri"/>
          <w:iCs/>
          <w:color w:val="auto"/>
          <w:szCs w:val="22"/>
        </w:rPr>
      </w:pPr>
      <w:r>
        <w:rPr>
          <w:rFonts w:eastAsiaTheme="minorHAnsi" w:cs="Calibri"/>
          <w:iCs/>
          <w:szCs w:val="22"/>
        </w:rPr>
        <w:t>Euro 71.902,00 per Azienda Comunale Farmacie;</w:t>
      </w:r>
    </w:p>
    <w:p w:rsidR="00594B59" w:rsidRDefault="00D11D2E">
      <w:pPr>
        <w:numPr>
          <w:ilvl w:val="0"/>
          <w:numId w:val="8"/>
        </w:numPr>
        <w:tabs>
          <w:tab w:val="left" w:pos="0"/>
        </w:tabs>
        <w:spacing w:after="120" w:line="240" w:lineRule="auto"/>
        <w:jc w:val="left"/>
        <w:rPr>
          <w:rFonts w:eastAsiaTheme="minorHAnsi" w:cs="Calibri"/>
          <w:iCs/>
          <w:color w:val="auto"/>
          <w:szCs w:val="22"/>
        </w:rPr>
      </w:pPr>
      <w:r>
        <w:rPr>
          <w:rFonts w:eastAsiaTheme="minorHAnsi" w:cs="Calibri"/>
          <w:iCs/>
          <w:szCs w:val="22"/>
        </w:rPr>
        <w:t>Euro 573,84 per CUBI Biblioteche In Rete</w:t>
      </w:r>
    </w:p>
    <w:p w:rsidR="00594B59" w:rsidRDefault="00D11D2E">
      <w:pPr>
        <w:tabs>
          <w:tab w:val="left" w:pos="0"/>
        </w:tabs>
        <w:spacing w:after="0" w:line="240" w:lineRule="auto"/>
        <w:jc w:val="left"/>
        <w:rPr>
          <w:rFonts w:eastAsiaTheme="minorHAnsi" w:cs="Calibri"/>
          <w:b/>
          <w:iCs/>
          <w:color w:val="auto"/>
          <w:szCs w:val="22"/>
          <w:u w:val="single"/>
        </w:rPr>
      </w:pPr>
      <w:r>
        <w:rPr>
          <w:rFonts w:eastAsiaTheme="minorHAnsi" w:cs="Calibri"/>
          <w:b/>
          <w:iCs/>
          <w:szCs w:val="22"/>
          <w:u w:val="single"/>
        </w:rPr>
        <w:t>PASSIVO</w:t>
      </w: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t>Patrimonio netto</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Il Patrimonio netto, comprensivo della quota di </w:t>
      </w:r>
      <w:r>
        <w:rPr>
          <w:rFonts w:eastAsiaTheme="minorHAnsi" w:cs="Calibri"/>
          <w:iCs/>
          <w:color w:val="404040" w:themeColor="text1" w:themeTint="BF"/>
          <w:kern w:val="0"/>
          <w:szCs w:val="22"/>
        </w:rPr>
        <w:t>pertinenza di terzi, ammonta ad euro 130.064.104,13 e risulta così composto:</w:t>
      </w:r>
    </w:p>
    <w:tbl>
      <w:tblPr>
        <w:tblW w:w="8500" w:type="dxa"/>
        <w:tblLayout w:type="fixed"/>
        <w:tblCellMar>
          <w:left w:w="70" w:type="dxa"/>
          <w:right w:w="70" w:type="dxa"/>
        </w:tblCellMar>
        <w:tblLook w:val="04A0" w:firstRow="1" w:lastRow="0" w:firstColumn="1" w:lastColumn="0" w:noHBand="0" w:noVBand="1"/>
      </w:tblPr>
      <w:tblGrid>
        <w:gridCol w:w="4673"/>
        <w:gridCol w:w="1985"/>
        <w:gridCol w:w="1842"/>
      </w:tblGrid>
      <w:tr w:rsidR="00594B59">
        <w:trPr>
          <w:trHeight w:val="300"/>
        </w:trPr>
        <w:tc>
          <w:tcPr>
            <w:tcW w:w="4673" w:type="dxa"/>
            <w:tcBorders>
              <w:top w:val="single" w:sz="4" w:space="0" w:color="000000"/>
              <w:left w:val="single" w:sz="4" w:space="0" w:color="000000"/>
              <w:right w:val="single" w:sz="4" w:space="0" w:color="000000"/>
            </w:tcBorders>
            <w:shd w:val="clear" w:color="000000" w:fill="8DB4E2"/>
            <w:vAlign w:val="bottom"/>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PATRIMONIO NETTO</w:t>
            </w:r>
          </w:p>
        </w:tc>
        <w:tc>
          <w:tcPr>
            <w:tcW w:w="1985" w:type="dxa"/>
            <w:tcBorders>
              <w:top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2024</w:t>
            </w:r>
          </w:p>
        </w:tc>
        <w:tc>
          <w:tcPr>
            <w:tcW w:w="1842" w:type="dxa"/>
            <w:tcBorders>
              <w:top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2023</w:t>
            </w:r>
          </w:p>
        </w:tc>
      </w:tr>
      <w:tr w:rsidR="00594B59">
        <w:trPr>
          <w:trHeight w:val="300"/>
        </w:trPr>
        <w:tc>
          <w:tcPr>
            <w:tcW w:w="4673" w:type="dxa"/>
            <w:tcBorders>
              <w:top w:val="single" w:sz="4" w:space="0" w:color="000000"/>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Fondo di dotazione</w:t>
            </w:r>
          </w:p>
        </w:tc>
        <w:tc>
          <w:tcPr>
            <w:tcW w:w="1985" w:type="dxa"/>
            <w:tcBorders>
              <w:top w:val="single" w:sz="4" w:space="0" w:color="000000"/>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39.555.692,16 </w:t>
            </w:r>
          </w:p>
        </w:tc>
        <w:tc>
          <w:tcPr>
            <w:tcW w:w="1842" w:type="dxa"/>
            <w:tcBorders>
              <w:top w:val="single" w:sz="4" w:space="0" w:color="000000"/>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39.555.692,16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Riserve</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102.737.793,80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102.198.796,68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rPr>
                <w:rFonts w:ascii="Arial" w:eastAsia="Times New Roman" w:hAnsi="Arial" w:cs="Arial"/>
                <w:i/>
                <w:iCs/>
                <w:color w:val="000000"/>
                <w:sz w:val="18"/>
                <w:szCs w:val="18"/>
                <w:lang w:eastAsia="it-IT"/>
              </w:rPr>
            </w:pPr>
            <w:r>
              <w:rPr>
                <w:rFonts w:ascii="Arial" w:eastAsia="Times New Roman" w:hAnsi="Arial" w:cs="Arial"/>
                <w:i/>
                <w:iCs/>
                <w:sz w:val="18"/>
                <w:szCs w:val="18"/>
                <w:lang w:eastAsia="it-IT"/>
              </w:rPr>
              <w:t>-riserve da capitale</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0,00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i/>
                <w:iCs/>
                <w:color w:val="000000"/>
                <w:sz w:val="18"/>
                <w:szCs w:val="18"/>
                <w:lang w:eastAsia="it-IT"/>
              </w:rPr>
            </w:pPr>
            <w:r>
              <w:rPr>
                <w:rFonts w:ascii="Arial" w:eastAsia="Times New Roman" w:hAnsi="Arial" w:cs="Arial"/>
                <w:i/>
                <w:iCs/>
                <w:sz w:val="18"/>
                <w:szCs w:val="18"/>
                <w:lang w:eastAsia="it-IT"/>
              </w:rPr>
              <w:t xml:space="preserve">-riserve da permessi di </w:t>
            </w:r>
            <w:r>
              <w:rPr>
                <w:rFonts w:ascii="Arial" w:eastAsia="Times New Roman" w:hAnsi="Arial" w:cs="Arial"/>
                <w:i/>
                <w:iCs/>
                <w:sz w:val="18"/>
                <w:szCs w:val="18"/>
                <w:lang w:eastAsia="it-IT"/>
              </w:rPr>
              <w:t>costruire</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1.285.091,23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2.237.082,69 </w:t>
            </w:r>
          </w:p>
        </w:tc>
      </w:tr>
      <w:tr w:rsidR="00594B59">
        <w:trPr>
          <w:trHeight w:val="495"/>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i/>
                <w:iCs/>
                <w:color w:val="000000"/>
                <w:sz w:val="18"/>
                <w:szCs w:val="18"/>
                <w:lang w:eastAsia="it-IT"/>
              </w:rPr>
            </w:pPr>
            <w:r>
              <w:rPr>
                <w:rFonts w:ascii="Arial" w:eastAsia="Times New Roman" w:hAnsi="Arial" w:cs="Arial"/>
                <w:i/>
                <w:iCs/>
                <w:sz w:val="18"/>
                <w:szCs w:val="18"/>
                <w:lang w:eastAsia="it-IT"/>
              </w:rPr>
              <w:t>-riserve indisponibili per beni demaniali e patrimoniali indisponibili e per i beni culturali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99.842.875,22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98.574.954,31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i/>
                <w:iCs/>
                <w:color w:val="000000"/>
                <w:sz w:val="18"/>
                <w:szCs w:val="18"/>
                <w:lang w:eastAsia="it-IT"/>
              </w:rPr>
            </w:pPr>
            <w:r>
              <w:rPr>
                <w:rFonts w:ascii="Arial" w:eastAsia="Times New Roman" w:hAnsi="Arial" w:cs="Arial"/>
                <w:i/>
                <w:iCs/>
                <w:sz w:val="18"/>
                <w:szCs w:val="18"/>
                <w:lang w:eastAsia="it-IT"/>
              </w:rPr>
              <w:t>-altre riserve indisponibili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1.609.827,35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1.386.759,68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i/>
                <w:iCs/>
                <w:color w:val="000000"/>
                <w:sz w:val="18"/>
                <w:szCs w:val="18"/>
                <w:lang w:eastAsia="it-IT"/>
              </w:rPr>
            </w:pPr>
            <w:r>
              <w:rPr>
                <w:rFonts w:ascii="Arial" w:eastAsia="Times New Roman" w:hAnsi="Arial" w:cs="Arial"/>
                <w:i/>
                <w:iCs/>
                <w:sz w:val="18"/>
                <w:szCs w:val="18"/>
                <w:lang w:eastAsia="it-IT"/>
              </w:rPr>
              <w:t>-altre riserve disponibili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0,00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i/>
                <w:color w:val="000000"/>
                <w:sz w:val="18"/>
                <w:szCs w:val="18"/>
                <w:lang w:eastAsia="it-IT"/>
              </w:rPr>
            </w:pPr>
            <w:r>
              <w:rPr>
                <w:rFonts w:ascii="Arial" w:eastAsia="Times New Roman" w:hAnsi="Arial" w:cs="Arial"/>
                <w:i/>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Risultato economico dell'esercizio</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4.480.881,80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-6.206.035,78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Risultati economici di esercizi precedenti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-6.528.788,05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Riserve negative per beni indisponibili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-10.188.297,15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-10.188.297,15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 patrimonio netto di gruppo</w:t>
            </w:r>
          </w:p>
        </w:tc>
        <w:tc>
          <w:tcPr>
            <w:tcW w:w="1985"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130.057.282,56 </w:t>
            </w:r>
          </w:p>
        </w:tc>
        <w:tc>
          <w:tcPr>
            <w:tcW w:w="1842"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125.360.155,91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fondo di dotazione e riserve di pertinenza di terzi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6.558,10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risultato economico dell'esercizio di pertinenza di terzi</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263,47 </w:t>
            </w:r>
          </w:p>
        </w:tc>
        <w:tc>
          <w:tcPr>
            <w:tcW w:w="1842"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 patrimonio netto di pertinenza di terzi</w:t>
            </w:r>
          </w:p>
        </w:tc>
        <w:tc>
          <w:tcPr>
            <w:tcW w:w="1985"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6.821,57 </w:t>
            </w:r>
          </w:p>
        </w:tc>
        <w:tc>
          <w:tcPr>
            <w:tcW w:w="1842"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0,00 </w:t>
            </w:r>
          </w:p>
        </w:tc>
      </w:tr>
      <w:tr w:rsidR="00594B59">
        <w:trPr>
          <w:trHeight w:val="300"/>
        </w:trPr>
        <w:tc>
          <w:tcPr>
            <w:tcW w:w="4673"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 Patrimonio</w:t>
            </w:r>
            <w:r>
              <w:rPr>
                <w:rFonts w:ascii="Arial" w:eastAsia="Times New Roman" w:hAnsi="Arial" w:cs="Arial"/>
                <w:b/>
                <w:bCs/>
                <w:sz w:val="18"/>
                <w:szCs w:val="18"/>
                <w:lang w:eastAsia="it-IT"/>
              </w:rPr>
              <w:t xml:space="preserve"> Netto</w:t>
            </w:r>
          </w:p>
        </w:tc>
        <w:tc>
          <w:tcPr>
            <w:tcW w:w="1985"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130.064.104,13 </w:t>
            </w:r>
          </w:p>
        </w:tc>
        <w:tc>
          <w:tcPr>
            <w:tcW w:w="1842"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125.360.155,91 </w:t>
            </w:r>
          </w:p>
        </w:tc>
      </w:tr>
    </w:tbl>
    <w:p w:rsidR="00594B59" w:rsidRDefault="00594B59">
      <w:pPr>
        <w:pStyle w:val="Standard"/>
        <w:spacing w:after="0" w:line="240" w:lineRule="auto"/>
        <w:rPr>
          <w:rFonts w:eastAsiaTheme="minorHAnsi" w:cs="Calibri"/>
          <w:iCs/>
          <w:color w:val="auto"/>
          <w:kern w:val="0"/>
          <w:szCs w:val="22"/>
          <w:highlight w:val="yellow"/>
        </w:rPr>
      </w:pPr>
      <w:bookmarkStart w:id="5" w:name="_MON_1564040818"/>
      <w:bookmarkStart w:id="6" w:name="_MON_1564040777"/>
      <w:bookmarkStart w:id="7" w:name="_MON_1564040664"/>
      <w:bookmarkEnd w:id="5"/>
      <w:bookmarkEnd w:id="6"/>
      <w:bookmarkEnd w:id="7"/>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Il Patrimonio Netto di Gruppo ammonta ad euro 130.057.282,56 e comprende il “Fondo di dotazione” del Comune di San Donato Milanese di euro 39.555.692,16, le “Riserve” pari a euro 102.737.793,80, i “Risultati economi</w:t>
      </w:r>
      <w:r>
        <w:rPr>
          <w:rFonts w:eastAsiaTheme="minorHAnsi" w:cs="Calibri"/>
          <w:iCs/>
          <w:color w:val="404040" w:themeColor="text1" w:themeTint="BF"/>
          <w:kern w:val="0"/>
          <w:szCs w:val="22"/>
        </w:rPr>
        <w:t xml:space="preserve">ci di esercizi precedenti” per euro -6.528.788,05 e il “Risultato </w:t>
      </w:r>
      <w:r>
        <w:rPr>
          <w:rFonts w:eastAsiaTheme="minorHAnsi" w:cs="Calibri"/>
          <w:iCs/>
          <w:color w:val="404040" w:themeColor="text1" w:themeTint="BF"/>
          <w:kern w:val="0"/>
          <w:szCs w:val="22"/>
        </w:rPr>
        <w:lastRenderedPageBreak/>
        <w:t>Economico dell’esercizio di gruppo” per euro 4.480.881,80. Nel complesso si registra un incremento di euro 4.697.126,65 rispetto al precedente esercizio 2023.</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Il Patrimonio Netto di pertinen</w:t>
      </w:r>
      <w:r>
        <w:rPr>
          <w:rFonts w:eastAsiaTheme="minorHAnsi" w:cs="Calibri"/>
          <w:iCs/>
          <w:color w:val="404040" w:themeColor="text1" w:themeTint="BF"/>
          <w:kern w:val="0"/>
          <w:szCs w:val="22"/>
        </w:rPr>
        <w:t xml:space="preserve">za di terzi, pari a euro 6.821,57, è riconducibile ai soci di minoranza della società </w:t>
      </w:r>
      <w:proofErr w:type="spellStart"/>
      <w:r>
        <w:rPr>
          <w:rFonts w:eastAsiaTheme="minorHAnsi" w:cs="Calibri"/>
          <w:iCs/>
          <w:color w:val="404040" w:themeColor="text1" w:themeTint="BF"/>
          <w:kern w:val="0"/>
          <w:szCs w:val="22"/>
        </w:rPr>
        <w:t>ZeroC</w:t>
      </w:r>
      <w:proofErr w:type="spellEnd"/>
      <w:r>
        <w:rPr>
          <w:rFonts w:eastAsiaTheme="minorHAnsi" w:cs="Calibri"/>
          <w:iCs/>
          <w:color w:val="404040" w:themeColor="text1" w:themeTint="BF"/>
          <w:kern w:val="0"/>
          <w:szCs w:val="22"/>
        </w:rPr>
        <w:t xml:space="preserve"> </w:t>
      </w:r>
      <w:proofErr w:type="spellStart"/>
      <w:r>
        <w:rPr>
          <w:rFonts w:eastAsiaTheme="minorHAnsi" w:cs="Calibri"/>
          <w:iCs/>
          <w:color w:val="404040" w:themeColor="text1" w:themeTint="BF"/>
          <w:kern w:val="0"/>
          <w:szCs w:val="22"/>
        </w:rPr>
        <w:t>SpA</w:t>
      </w:r>
      <w:proofErr w:type="spellEnd"/>
      <w:r>
        <w:rPr>
          <w:rFonts w:eastAsiaTheme="minorHAnsi" w:cs="Calibri"/>
          <w:iCs/>
          <w:color w:val="404040" w:themeColor="text1" w:themeTint="BF"/>
          <w:kern w:val="0"/>
          <w:szCs w:val="22"/>
        </w:rPr>
        <w:t xml:space="preserve"> consolidata dal Gruppo CAP.</w:t>
      </w:r>
    </w:p>
    <w:p w:rsidR="00594B59" w:rsidRDefault="00594B59">
      <w:pPr>
        <w:pStyle w:val="Standard"/>
        <w:spacing w:after="0" w:line="240" w:lineRule="auto"/>
        <w:rPr>
          <w:rFonts w:eastAsiaTheme="minorHAnsi" w:cs="Calibri"/>
          <w:iCs/>
          <w:color w:val="auto"/>
          <w:kern w:val="0"/>
          <w:szCs w:val="22"/>
        </w:rPr>
      </w:pPr>
    </w:p>
    <w:p w:rsidR="00594B59" w:rsidRDefault="00D11D2E">
      <w:pPr>
        <w:tabs>
          <w:tab w:val="left" w:pos="0"/>
        </w:tabs>
        <w:spacing w:after="0" w:line="240" w:lineRule="auto"/>
        <w:rPr>
          <w:rFonts w:eastAsiaTheme="minorHAnsi" w:cs="Calibri"/>
          <w:i/>
          <w:iCs/>
          <w:color w:val="auto"/>
          <w:szCs w:val="22"/>
          <w:u w:val="single"/>
        </w:rPr>
      </w:pPr>
      <w:r>
        <w:rPr>
          <w:rFonts w:eastAsiaTheme="minorHAnsi" w:cs="Calibri"/>
          <w:i/>
          <w:iCs/>
          <w:szCs w:val="22"/>
          <w:u w:val="single"/>
        </w:rPr>
        <w:t>Fondi per rischi e oneri</w:t>
      </w:r>
    </w:p>
    <w:p w:rsidR="00594B59" w:rsidRDefault="00D11D2E">
      <w:pPr>
        <w:tabs>
          <w:tab w:val="left" w:pos="0"/>
        </w:tabs>
        <w:spacing w:after="0" w:line="240" w:lineRule="auto"/>
        <w:jc w:val="left"/>
        <w:rPr>
          <w:rFonts w:eastAsiaTheme="minorHAnsi" w:cs="Calibri"/>
          <w:iCs/>
          <w:color w:val="auto"/>
          <w:szCs w:val="22"/>
        </w:rPr>
      </w:pPr>
      <w:r>
        <w:rPr>
          <w:rFonts w:eastAsiaTheme="minorHAnsi" w:cs="Calibri"/>
          <w:iCs/>
          <w:szCs w:val="22"/>
        </w:rPr>
        <w:t>I fondi per rischi e oneri ammontano a euro 4.538.034,88 e si riferiscono a:</w:t>
      </w:r>
    </w:p>
    <w:tbl>
      <w:tblPr>
        <w:tblW w:w="5797" w:type="dxa"/>
        <w:tblLayout w:type="fixed"/>
        <w:tblCellMar>
          <w:left w:w="70" w:type="dxa"/>
          <w:right w:w="70" w:type="dxa"/>
        </w:tblCellMar>
        <w:tblLook w:val="04A0" w:firstRow="1" w:lastRow="0" w:firstColumn="1" w:lastColumn="0" w:noHBand="0" w:noVBand="1"/>
      </w:tblPr>
      <w:tblGrid>
        <w:gridCol w:w="4490"/>
        <w:gridCol w:w="1307"/>
      </w:tblGrid>
      <w:tr w:rsidR="00594B59">
        <w:trPr>
          <w:trHeight w:val="300"/>
        </w:trPr>
        <w:tc>
          <w:tcPr>
            <w:tcW w:w="5796" w:type="dxa"/>
            <w:gridSpan w:val="2"/>
            <w:tcBorders>
              <w:top w:val="single" w:sz="4" w:space="0" w:color="000000"/>
              <w:left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FONDI PER RISCHI E ONERI</w:t>
            </w:r>
          </w:p>
        </w:tc>
      </w:tr>
      <w:tr w:rsidR="00594B59">
        <w:trPr>
          <w:trHeight w:val="300"/>
        </w:trPr>
        <w:tc>
          <w:tcPr>
            <w:tcW w:w="4489"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Fondi per trattamento di quiescenza</w:t>
            </w:r>
          </w:p>
        </w:tc>
        <w:tc>
          <w:tcPr>
            <w:tcW w:w="1307"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0,00 </w:t>
            </w:r>
          </w:p>
        </w:tc>
      </w:tr>
      <w:tr w:rsidR="00594B59">
        <w:trPr>
          <w:trHeight w:val="300"/>
        </w:trPr>
        <w:tc>
          <w:tcPr>
            <w:tcW w:w="4489"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Fondi per imposte</w:t>
            </w:r>
          </w:p>
        </w:tc>
        <w:tc>
          <w:tcPr>
            <w:tcW w:w="1307"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345.802,35 </w:t>
            </w:r>
          </w:p>
        </w:tc>
      </w:tr>
      <w:tr w:rsidR="00594B59">
        <w:trPr>
          <w:trHeight w:val="300"/>
        </w:trPr>
        <w:tc>
          <w:tcPr>
            <w:tcW w:w="4489"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Altri </w:t>
            </w:r>
          </w:p>
        </w:tc>
        <w:tc>
          <w:tcPr>
            <w:tcW w:w="1307"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4.191.484,19 </w:t>
            </w:r>
          </w:p>
        </w:tc>
      </w:tr>
      <w:tr w:rsidR="00594B59">
        <w:trPr>
          <w:trHeight w:val="300"/>
        </w:trPr>
        <w:tc>
          <w:tcPr>
            <w:tcW w:w="4489"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Fondo di consolidamento per rischi e oneri futuri</w:t>
            </w:r>
          </w:p>
        </w:tc>
        <w:tc>
          <w:tcPr>
            <w:tcW w:w="1307"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748,34 </w:t>
            </w:r>
          </w:p>
        </w:tc>
      </w:tr>
      <w:tr w:rsidR="00594B59">
        <w:trPr>
          <w:trHeight w:val="300"/>
        </w:trPr>
        <w:tc>
          <w:tcPr>
            <w:tcW w:w="4489" w:type="dxa"/>
            <w:tcBorders>
              <w:left w:val="single" w:sz="4" w:space="0" w:color="000000"/>
              <w:bottom w:val="single" w:sz="4" w:space="0" w:color="000000"/>
              <w:right w:val="single" w:sz="4" w:space="0" w:color="000000"/>
            </w:tcBorders>
            <w:shd w:val="clear" w:color="000000" w:fill="8DB4E2"/>
            <w:vAlign w:val="bottom"/>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 fondi rischi</w:t>
            </w:r>
          </w:p>
        </w:tc>
        <w:tc>
          <w:tcPr>
            <w:tcW w:w="1307" w:type="dxa"/>
            <w:tcBorders>
              <w:bottom w:val="single" w:sz="4" w:space="0" w:color="000000"/>
              <w:right w:val="single" w:sz="4" w:space="0" w:color="000000"/>
            </w:tcBorders>
            <w:shd w:val="clear" w:color="000000" w:fill="8DB4E2"/>
            <w:vAlign w:val="bottom"/>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4.538.034,88 </w:t>
            </w:r>
          </w:p>
        </w:tc>
      </w:tr>
    </w:tbl>
    <w:p w:rsidR="00594B59" w:rsidRDefault="00594B59">
      <w:pPr>
        <w:pStyle w:val="Standard"/>
        <w:tabs>
          <w:tab w:val="left" w:pos="0"/>
        </w:tabs>
        <w:spacing w:after="0" w:line="240" w:lineRule="auto"/>
        <w:jc w:val="left"/>
        <w:rPr>
          <w:rFonts w:cs="Calibri"/>
          <w:bCs/>
          <w:iCs/>
          <w:color w:val="00000A"/>
          <w:szCs w:val="22"/>
        </w:rPr>
      </w:pPr>
    </w:p>
    <w:p w:rsidR="00594B59" w:rsidRDefault="00D11D2E">
      <w:pPr>
        <w:pStyle w:val="Standard"/>
        <w:tabs>
          <w:tab w:val="left" w:pos="0"/>
        </w:tabs>
        <w:spacing w:after="0" w:line="240" w:lineRule="auto"/>
        <w:jc w:val="left"/>
        <w:rPr>
          <w:rFonts w:cs="Calibri"/>
          <w:bCs/>
          <w:iCs/>
          <w:color w:val="00000A"/>
          <w:szCs w:val="22"/>
        </w:rPr>
      </w:pPr>
      <w:r>
        <w:rPr>
          <w:rFonts w:cs="Calibri"/>
          <w:bCs/>
          <w:iCs/>
          <w:color w:val="404040" w:themeColor="text1" w:themeTint="BF"/>
          <w:szCs w:val="22"/>
        </w:rPr>
        <w:t xml:space="preserve">Si osserva un decremento di euro 2.562.434,82 rispetto al </w:t>
      </w:r>
      <w:r>
        <w:rPr>
          <w:rFonts w:cs="Calibri"/>
          <w:bCs/>
          <w:iCs/>
          <w:color w:val="404040" w:themeColor="text1" w:themeTint="BF"/>
          <w:szCs w:val="22"/>
        </w:rPr>
        <w:t>precedente esercizio.</w:t>
      </w:r>
    </w:p>
    <w:p w:rsidR="00594B59" w:rsidRDefault="00594B59">
      <w:pPr>
        <w:pStyle w:val="Standard"/>
        <w:tabs>
          <w:tab w:val="left" w:pos="0"/>
        </w:tabs>
        <w:spacing w:after="0" w:line="240" w:lineRule="auto"/>
        <w:jc w:val="left"/>
        <w:rPr>
          <w:rFonts w:cs="Calibri"/>
          <w:bCs/>
          <w:iCs/>
          <w:color w:val="00000A"/>
          <w:szCs w:val="22"/>
        </w:rPr>
      </w:pPr>
    </w:p>
    <w:p w:rsidR="00594B59" w:rsidRDefault="00D11D2E">
      <w:pPr>
        <w:tabs>
          <w:tab w:val="left" w:pos="0"/>
        </w:tabs>
        <w:spacing w:after="0" w:line="240" w:lineRule="auto"/>
        <w:jc w:val="left"/>
        <w:rPr>
          <w:rFonts w:eastAsiaTheme="minorHAnsi" w:cs="Calibri"/>
          <w:i/>
          <w:iCs/>
          <w:color w:val="262626" w:themeColor="text1" w:themeTint="D9"/>
          <w:szCs w:val="22"/>
          <w:u w:val="single"/>
        </w:rPr>
      </w:pPr>
      <w:bookmarkStart w:id="8" w:name="_MON_1564046493"/>
      <w:bookmarkStart w:id="9" w:name="_MON_1564046435"/>
      <w:bookmarkStart w:id="10" w:name="_MON_1564046373"/>
      <w:bookmarkEnd w:id="8"/>
      <w:bookmarkEnd w:id="9"/>
      <w:bookmarkEnd w:id="10"/>
      <w:r>
        <w:rPr>
          <w:rFonts w:eastAsiaTheme="minorHAnsi" w:cs="Calibri"/>
          <w:i/>
          <w:iCs/>
          <w:color w:val="262626" w:themeColor="text1" w:themeTint="D9"/>
          <w:szCs w:val="22"/>
          <w:u w:val="single"/>
        </w:rPr>
        <w:t>Fondo trattamento fine rapporto</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Tale fondo, pari a complessivi euro 1.043.464,37, si riferisce alle realtà consolidate in quanto l’Ente non accantona somme a tale titolo.      </w:t>
      </w:r>
    </w:p>
    <w:p w:rsidR="00594B59" w:rsidRDefault="00594B59">
      <w:pPr>
        <w:pStyle w:val="Standard"/>
        <w:spacing w:after="0" w:line="240" w:lineRule="auto"/>
        <w:rPr>
          <w:rFonts w:eastAsiaTheme="minorHAnsi" w:cs="Calibri"/>
          <w:iCs/>
          <w:color w:val="auto"/>
          <w:kern w:val="0"/>
          <w:szCs w:val="22"/>
        </w:rPr>
      </w:pPr>
    </w:p>
    <w:p w:rsidR="00594B59" w:rsidRDefault="00D11D2E">
      <w:pPr>
        <w:tabs>
          <w:tab w:val="left" w:pos="0"/>
        </w:tabs>
        <w:spacing w:after="0" w:line="240" w:lineRule="auto"/>
        <w:jc w:val="left"/>
        <w:rPr>
          <w:rFonts w:eastAsiaTheme="minorHAnsi" w:cs="Calibri"/>
          <w:i/>
          <w:iCs/>
          <w:color w:val="262626" w:themeColor="text1" w:themeTint="D9"/>
          <w:szCs w:val="22"/>
          <w:u w:val="single"/>
        </w:rPr>
      </w:pPr>
      <w:r>
        <w:rPr>
          <w:rFonts w:eastAsiaTheme="minorHAnsi" w:cs="Calibri"/>
          <w:i/>
          <w:iCs/>
          <w:color w:val="262626" w:themeColor="text1" w:themeTint="D9"/>
          <w:szCs w:val="22"/>
          <w:u w:val="single"/>
        </w:rPr>
        <w:t xml:space="preserve">Debiti </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I debiti ammontano complessivamente a euro </w:t>
      </w:r>
      <w:r>
        <w:rPr>
          <w:rFonts w:eastAsiaTheme="minorHAnsi" w:cs="Calibri"/>
          <w:iCs/>
          <w:color w:val="404040" w:themeColor="text1" w:themeTint="BF"/>
          <w:kern w:val="0"/>
          <w:szCs w:val="22"/>
        </w:rPr>
        <w:t>16.539.358,78. Rispetto al 2023 si registra complessivamente un decremento di euro   832.344,57. La quota di pertinenza del Comune è pari a euro 8.517.308,88, euro 5.661.960,05 per Gruppo CAP, euro 1.030.165,39 per Azienda Sociale Sud Est Milano, euro 1.26</w:t>
      </w:r>
      <w:r>
        <w:rPr>
          <w:rFonts w:eastAsiaTheme="minorHAnsi" w:cs="Calibri"/>
          <w:iCs/>
          <w:color w:val="404040" w:themeColor="text1" w:themeTint="BF"/>
          <w:kern w:val="0"/>
          <w:szCs w:val="22"/>
        </w:rPr>
        <w:t>1.588 per Azienda Comunale Farmacie, euro 50.167,84 per Afol Metropolitana ed infine euro 18.168,62 per CUBI.</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Si evidenziano le voci più significative:</w:t>
      </w:r>
    </w:p>
    <w:p w:rsidR="00594B59" w:rsidRDefault="00D11D2E">
      <w:pPr>
        <w:numPr>
          <w:ilvl w:val="0"/>
          <w:numId w:val="8"/>
        </w:numPr>
        <w:tabs>
          <w:tab w:val="left" w:pos="0"/>
        </w:tabs>
        <w:spacing w:after="0" w:line="240" w:lineRule="auto"/>
        <w:ind w:left="714" w:hanging="357"/>
        <w:rPr>
          <w:rFonts w:eastAsiaTheme="minorHAnsi" w:cs="Calibri"/>
          <w:iCs/>
          <w:color w:val="auto"/>
          <w:szCs w:val="22"/>
        </w:rPr>
      </w:pPr>
      <w:r>
        <w:rPr>
          <w:rFonts w:eastAsiaTheme="minorHAnsi" w:cs="Calibri"/>
          <w:iCs/>
          <w:szCs w:val="22"/>
        </w:rPr>
        <w:t>“Debiti da finanziamento” pari a euro 3.240.319,68 sono riconducibili per euro 3.092.874,82 al Gruppo Ca</w:t>
      </w:r>
      <w:r>
        <w:rPr>
          <w:rFonts w:eastAsiaTheme="minorHAnsi" w:cs="Calibri"/>
          <w:iCs/>
          <w:szCs w:val="22"/>
        </w:rPr>
        <w:t>p, per euro 28.347,51 al Comune, per euro 119.008 ad Azienda Comunale Farmacie e per euro 89,35 ad Afol Metropolitana. Rispetto al 2023 si rileva un decremento di euro 379.319,34;</w:t>
      </w:r>
    </w:p>
    <w:p w:rsidR="00594B59" w:rsidRDefault="00D11D2E">
      <w:pPr>
        <w:numPr>
          <w:ilvl w:val="0"/>
          <w:numId w:val="8"/>
        </w:numPr>
        <w:tabs>
          <w:tab w:val="left" w:pos="0"/>
        </w:tabs>
        <w:spacing w:after="0" w:line="240" w:lineRule="auto"/>
        <w:ind w:left="714" w:hanging="357"/>
        <w:rPr>
          <w:rFonts w:eastAsiaTheme="minorHAnsi" w:cs="Calibri"/>
          <w:iCs/>
          <w:color w:val="auto"/>
          <w:szCs w:val="22"/>
        </w:rPr>
      </w:pPr>
      <w:r>
        <w:rPr>
          <w:rFonts w:eastAsiaTheme="minorHAnsi" w:cs="Calibri"/>
          <w:iCs/>
          <w:szCs w:val="22"/>
        </w:rPr>
        <w:t>“Debiti verso fornitori” registra un valore consolidato pari a euro 9.544.43</w:t>
      </w:r>
      <w:r>
        <w:rPr>
          <w:rFonts w:eastAsiaTheme="minorHAnsi" w:cs="Calibri"/>
          <w:iCs/>
          <w:szCs w:val="22"/>
        </w:rPr>
        <w:t>1,61 rispetto a euro 9.889.481,75 del precedente esercizio, con un decremento pari a euro 345.050,14. Comprende euro 6.592.001,09 per la capogruppo, euro 1.273.666,71 per Gruppo CAP, euro 732.969,51 per Azienda Sociale Sud Est Milano, euro 26.019,49 per Af</w:t>
      </w:r>
      <w:r>
        <w:rPr>
          <w:rFonts w:eastAsiaTheme="minorHAnsi" w:cs="Calibri"/>
          <w:iCs/>
          <w:szCs w:val="22"/>
        </w:rPr>
        <w:t>ol Metropolitana, euro 13.343,81 per CUBI ed euro 906.431,00 per Azienda Comunale Farmacie;</w:t>
      </w:r>
    </w:p>
    <w:p w:rsidR="00594B59" w:rsidRDefault="00D11D2E">
      <w:pPr>
        <w:numPr>
          <w:ilvl w:val="0"/>
          <w:numId w:val="8"/>
        </w:numPr>
        <w:tabs>
          <w:tab w:val="left" w:pos="0"/>
        </w:tabs>
        <w:spacing w:after="0" w:line="240" w:lineRule="auto"/>
        <w:ind w:left="714" w:hanging="357"/>
        <w:rPr>
          <w:rFonts w:eastAsiaTheme="minorHAnsi" w:cs="Calibri"/>
          <w:iCs/>
          <w:color w:val="auto"/>
          <w:szCs w:val="22"/>
        </w:rPr>
      </w:pPr>
      <w:r>
        <w:rPr>
          <w:rFonts w:eastAsiaTheme="minorHAnsi" w:cs="Calibri"/>
          <w:iCs/>
          <w:szCs w:val="22"/>
        </w:rPr>
        <w:t>“Altri debiti” pari a euro 2.862.758,42 sono ripartiti come segue: euro 1.164.220,54 per il Comune, euro 1.147.281,31 per il Gruppo CAP, euro 297.195,88 per Azienda</w:t>
      </w:r>
      <w:r>
        <w:rPr>
          <w:rFonts w:eastAsiaTheme="minorHAnsi" w:cs="Calibri"/>
          <w:iCs/>
          <w:szCs w:val="22"/>
        </w:rPr>
        <w:t xml:space="preserve"> Sociale Sud Est Milano, euro 13.086,88 per Afol M., euro 236.149 per A.C.F. Ed euro 4.824,81 per CUBI;</w:t>
      </w:r>
    </w:p>
    <w:p w:rsidR="00594B59" w:rsidRDefault="00594B59">
      <w:pPr>
        <w:tabs>
          <w:tab w:val="left" w:pos="0"/>
        </w:tabs>
        <w:spacing w:after="0" w:line="240" w:lineRule="auto"/>
        <w:ind w:left="714"/>
        <w:rPr>
          <w:rFonts w:eastAsiaTheme="minorHAnsi" w:cs="Calibri"/>
          <w:iCs/>
          <w:color w:val="auto"/>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Sul valore dei debiti si osserva che i debiti con esigibilità superiore ai 5 anni sono complessivamente pari a euro 142.498.302 e sono così composti:</w:t>
      </w:r>
    </w:p>
    <w:p w:rsidR="00594B59" w:rsidRDefault="00D11D2E">
      <w:pPr>
        <w:numPr>
          <w:ilvl w:val="0"/>
          <w:numId w:val="8"/>
        </w:numPr>
        <w:tabs>
          <w:tab w:val="left" w:pos="0"/>
        </w:tabs>
        <w:spacing w:after="0" w:line="240" w:lineRule="auto"/>
        <w:ind w:left="714" w:hanging="357"/>
        <w:rPr>
          <w:rFonts w:eastAsiaTheme="minorHAnsi" w:cs="Calibri"/>
          <w:iCs/>
          <w:color w:val="auto"/>
          <w:szCs w:val="22"/>
        </w:rPr>
      </w:pPr>
      <w:r>
        <w:rPr>
          <w:rFonts w:eastAsiaTheme="minorHAnsi" w:cs="Calibri"/>
          <w:iCs/>
          <w:szCs w:val="22"/>
        </w:rPr>
        <w:t>e</w:t>
      </w:r>
      <w:r>
        <w:rPr>
          <w:rFonts w:eastAsiaTheme="minorHAnsi" w:cs="Calibri"/>
          <w:iCs/>
          <w:szCs w:val="22"/>
        </w:rPr>
        <w:t>uro 142.455.894,00 di competenza del Gruppo Cap. Tale importo incide sul bilancio consolidato per euro 1.743.945,05 in proporzione alla quota di partecipazione detenuta dal Comune in Cap Holding Spa a capo del Gruppo CAP (1,2242%);</w:t>
      </w:r>
    </w:p>
    <w:p w:rsidR="00594B59" w:rsidRDefault="00D11D2E">
      <w:pPr>
        <w:numPr>
          <w:ilvl w:val="0"/>
          <w:numId w:val="8"/>
        </w:numPr>
        <w:tabs>
          <w:tab w:val="left" w:pos="0"/>
        </w:tabs>
        <w:spacing w:after="0" w:line="240" w:lineRule="auto"/>
        <w:ind w:left="714" w:hanging="357"/>
        <w:rPr>
          <w:rFonts w:eastAsiaTheme="minorHAnsi" w:cs="Calibri"/>
          <w:iCs/>
          <w:color w:val="auto"/>
          <w:szCs w:val="22"/>
        </w:rPr>
      </w:pPr>
      <w:r>
        <w:rPr>
          <w:rFonts w:eastAsiaTheme="minorHAnsi" w:cs="Calibri"/>
          <w:iCs/>
          <w:szCs w:val="22"/>
        </w:rPr>
        <w:t>euro 42.408 di competenz</w:t>
      </w:r>
      <w:r>
        <w:rPr>
          <w:rFonts w:eastAsiaTheme="minorHAnsi" w:cs="Calibri"/>
          <w:iCs/>
          <w:szCs w:val="22"/>
        </w:rPr>
        <w:t>a di Azienda Comunale Farmacie per il mutuo erogato da BBC Caravaggio Adda e Cremasco per l'acquisto della Farmacia Comunale n. 1, in scadenza nel 2032;</w:t>
      </w:r>
    </w:p>
    <w:p w:rsidR="00594B59" w:rsidRDefault="00594B59" w:rsidP="00A81922">
      <w:pPr>
        <w:tabs>
          <w:tab w:val="left" w:pos="0"/>
        </w:tabs>
        <w:spacing w:after="0" w:line="240" w:lineRule="auto"/>
        <w:rPr>
          <w:rFonts w:eastAsiaTheme="minorHAnsi" w:cs="Calibri"/>
          <w:iCs/>
          <w:color w:val="auto"/>
          <w:szCs w:val="22"/>
        </w:rPr>
      </w:pPr>
    </w:p>
    <w:p w:rsidR="00594B59" w:rsidRDefault="00D11D2E">
      <w:pPr>
        <w:tabs>
          <w:tab w:val="left" w:pos="0"/>
        </w:tabs>
        <w:spacing w:after="0" w:line="240" w:lineRule="auto"/>
        <w:jc w:val="left"/>
        <w:rPr>
          <w:rFonts w:eastAsiaTheme="minorHAnsi" w:cs="Calibri"/>
          <w:i/>
          <w:iCs/>
          <w:color w:val="262626" w:themeColor="text1" w:themeTint="D9"/>
          <w:szCs w:val="22"/>
          <w:u w:val="single"/>
        </w:rPr>
      </w:pPr>
      <w:r>
        <w:rPr>
          <w:rFonts w:eastAsiaTheme="minorHAnsi" w:cs="Calibri"/>
          <w:i/>
          <w:iCs/>
          <w:color w:val="262626" w:themeColor="text1" w:themeTint="D9"/>
          <w:szCs w:val="22"/>
          <w:u w:val="single"/>
        </w:rPr>
        <w:t xml:space="preserve">Ratei, risconti e contributi agli investimenti </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Tale voce ammonta a euro 24.342.492,01 di cui euro 18.</w:t>
      </w:r>
      <w:r>
        <w:rPr>
          <w:rFonts w:eastAsiaTheme="minorHAnsi" w:cs="Calibri"/>
          <w:iCs/>
          <w:color w:val="404040" w:themeColor="text1" w:themeTint="BF"/>
          <w:kern w:val="0"/>
          <w:szCs w:val="22"/>
        </w:rPr>
        <w:t>670,15 per ratei passivi ed euro 24.323.821,86 per risconti passivi.</w:t>
      </w: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I risconti passivi si riferiscono principalmente ai “Contributi agli investimenti” per complessivi euro 22.722.681,69, di cui euro 22.528.555,31 di pertinenza del Comune per trasferimenti</w:t>
      </w:r>
      <w:r>
        <w:rPr>
          <w:rFonts w:eastAsiaTheme="minorHAnsi" w:cs="Calibri"/>
          <w:iCs/>
          <w:color w:val="404040" w:themeColor="text1" w:themeTint="BF"/>
          <w:kern w:val="0"/>
          <w:szCs w:val="22"/>
        </w:rPr>
        <w:t xml:space="preserve"> da altre amministrazioni pubbliche (Regione, Stato) o altri soggetti, finalizzati ad interventi in conto capitale. La restante quota relativa a risconti passivi è da attribuire ad Azienda Sociale Sud Est Milano per euro 1.585.310,16, Gruppo CAP per euro 1</w:t>
      </w:r>
      <w:r>
        <w:rPr>
          <w:rFonts w:eastAsiaTheme="minorHAnsi" w:cs="Calibri"/>
          <w:iCs/>
          <w:color w:val="404040" w:themeColor="text1" w:themeTint="BF"/>
          <w:kern w:val="0"/>
          <w:szCs w:val="22"/>
        </w:rPr>
        <w:t>97.156,63, CUBI per euro 10.210,46 e Afol Metropolitana per euro 2.589,30;</w:t>
      </w:r>
    </w:p>
    <w:p w:rsidR="00594B59" w:rsidRDefault="00594B59">
      <w:pPr>
        <w:pStyle w:val="Standard"/>
        <w:spacing w:after="0" w:line="240" w:lineRule="auto"/>
        <w:rPr>
          <w:rFonts w:eastAsiaTheme="minorHAnsi" w:cs="Calibri"/>
          <w:iCs/>
          <w:color w:val="auto"/>
          <w:kern w:val="0"/>
          <w:szCs w:val="22"/>
        </w:rPr>
      </w:pPr>
    </w:p>
    <w:p w:rsidR="00594B59" w:rsidRDefault="00D11D2E">
      <w:pPr>
        <w:tabs>
          <w:tab w:val="left" w:pos="0"/>
        </w:tabs>
        <w:spacing w:after="0" w:line="240" w:lineRule="auto"/>
        <w:jc w:val="left"/>
        <w:rPr>
          <w:rFonts w:eastAsiaTheme="minorHAnsi" w:cs="Calibri"/>
          <w:i/>
          <w:iCs/>
          <w:color w:val="262626" w:themeColor="text1" w:themeTint="D9"/>
          <w:szCs w:val="22"/>
          <w:u w:val="single"/>
        </w:rPr>
      </w:pPr>
      <w:r>
        <w:rPr>
          <w:rFonts w:eastAsiaTheme="minorHAnsi" w:cs="Calibri"/>
          <w:i/>
          <w:iCs/>
          <w:color w:val="262626" w:themeColor="text1" w:themeTint="D9"/>
          <w:szCs w:val="22"/>
          <w:u w:val="single"/>
        </w:rPr>
        <w:t xml:space="preserve">Conti d’ordine </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I conti d’ordine, ascrivibili solo al Comune, sono delle annotazioni di memoria. Essi costituiscono delle annotazioni di corredo alla situazione patrimoniale-finanz</w:t>
      </w:r>
      <w:r>
        <w:rPr>
          <w:rFonts w:eastAsia="Times New Roman" w:cs="Arial"/>
          <w:szCs w:val="22"/>
          <w:lang w:eastAsia="it-IT"/>
        </w:rPr>
        <w:t>iaria esposta dallo stato patrimoniale ma non costituiscono attività e passività in senso stretto. Si tratta, quindi, di fatti che non hanno ancora interessato il patrimonio dell’ente, cioè che non hanno comportato una variazione quali-quantitativa del pat</w:t>
      </w:r>
      <w:r>
        <w:rPr>
          <w:rFonts w:eastAsia="Times New Roman" w:cs="Arial"/>
          <w:szCs w:val="22"/>
          <w:lang w:eastAsia="it-IT"/>
        </w:rPr>
        <w:t>rimonio, e che, di conseguenza, non sono stati registrati in contabilità generale economico-patrimoniale, ovvero nel sistema di scritture finalizzato alla determinazione periodica della situazione patrimoniale, finanziaria ed economica dell’ente.</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Pertanto,</w:t>
      </w:r>
      <w:r>
        <w:rPr>
          <w:rFonts w:eastAsia="Times New Roman" w:cs="Arial"/>
          <w:szCs w:val="22"/>
          <w:lang w:eastAsia="it-IT"/>
        </w:rPr>
        <w:t xml:space="preserve"> l’importo indicato alla voce “Impegni su esercizi futuri” rappresenta il Fondo Pluriennale Vincolato. L’importo di euro 4.436.551,41 corrisponde alle </w:t>
      </w:r>
      <w:proofErr w:type="spellStart"/>
      <w:r>
        <w:rPr>
          <w:rFonts w:eastAsia="Times New Roman" w:cs="Arial"/>
          <w:szCs w:val="22"/>
          <w:lang w:eastAsia="it-IT"/>
        </w:rPr>
        <w:t>reimputazioni</w:t>
      </w:r>
      <w:proofErr w:type="spellEnd"/>
      <w:r>
        <w:rPr>
          <w:rFonts w:eastAsia="Times New Roman" w:cs="Arial"/>
          <w:szCs w:val="22"/>
          <w:lang w:eastAsia="it-IT"/>
        </w:rPr>
        <w:t xml:space="preserve"> effettive degli impegni 2024 </w:t>
      </w:r>
      <w:proofErr w:type="spellStart"/>
      <w:r>
        <w:rPr>
          <w:rFonts w:eastAsia="Times New Roman" w:cs="Arial"/>
          <w:szCs w:val="22"/>
          <w:lang w:eastAsia="it-IT"/>
        </w:rPr>
        <w:t>reiscritti</w:t>
      </w:r>
      <w:proofErr w:type="spellEnd"/>
      <w:r>
        <w:rPr>
          <w:rFonts w:eastAsia="Times New Roman" w:cs="Arial"/>
          <w:szCs w:val="22"/>
          <w:lang w:eastAsia="it-IT"/>
        </w:rPr>
        <w:t xml:space="preserve"> nell’esercizio 2025.</w:t>
      </w:r>
    </w:p>
    <w:p w:rsidR="00594B59" w:rsidRDefault="00594B59">
      <w:pPr>
        <w:spacing w:after="0" w:line="240" w:lineRule="auto"/>
        <w:rPr>
          <w:rFonts w:eastAsia="Times New Roman" w:cs="Arial"/>
          <w:color w:val="auto"/>
          <w:szCs w:val="22"/>
          <w:lang w:eastAsia="it-IT"/>
        </w:rPr>
      </w:pPr>
    </w:p>
    <w:p w:rsidR="00594B59" w:rsidRDefault="00D11D2E">
      <w:pPr>
        <w:pStyle w:val="Titolo1"/>
        <w:numPr>
          <w:ilvl w:val="0"/>
          <w:numId w:val="2"/>
        </w:numPr>
        <w:spacing w:before="0" w:after="0" w:line="240" w:lineRule="auto"/>
      </w:pPr>
      <w:bookmarkStart w:id="11" w:name="_Toc207873593"/>
      <w:r>
        <w:t>Conto economico consolidato</w:t>
      </w:r>
      <w:bookmarkEnd w:id="11"/>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tabella che segue sono riportati il risultato di esercizio del bilancio consolidato dell’esercizio 2024 e dell’esercizio precedente e i principali dati aggregati del Conto Economico consolidato esercizio 2024 con evidenza delle variazioni rispetto al</w:t>
      </w:r>
      <w:r>
        <w:rPr>
          <w:rFonts w:eastAsia="Times New Roman" w:cs="Arial"/>
          <w:szCs w:val="22"/>
          <w:lang w:eastAsia="it-IT"/>
        </w:rPr>
        <w:t>l’esercizio precedente:</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colonna (A) i dati economici consolidati esercizio 2024;</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colonna (B) i dati economici consolidati esercizio 2023;</w:t>
      </w:r>
    </w:p>
    <w:p w:rsidR="00594B59" w:rsidRDefault="00D11D2E">
      <w:pPr>
        <w:spacing w:after="0" w:line="240" w:lineRule="auto"/>
        <w:rPr>
          <w:rFonts w:eastAsia="Times New Roman" w:cs="Arial"/>
          <w:color w:val="auto"/>
          <w:szCs w:val="22"/>
          <w:lang w:eastAsia="it-IT"/>
        </w:rPr>
      </w:pPr>
      <w:r>
        <w:rPr>
          <w:rFonts w:eastAsia="Times New Roman" w:cs="Arial"/>
          <w:szCs w:val="22"/>
          <w:lang w:eastAsia="it-IT"/>
        </w:rPr>
        <w:t>nella colonna (C) la differenza tra la colonna (A) e la colonna (B).</w:t>
      </w:r>
    </w:p>
    <w:tbl>
      <w:tblPr>
        <w:tblW w:w="9067" w:type="dxa"/>
        <w:tblLayout w:type="fixed"/>
        <w:tblCellMar>
          <w:left w:w="70" w:type="dxa"/>
          <w:right w:w="70" w:type="dxa"/>
        </w:tblCellMar>
        <w:tblLook w:val="04A0" w:firstRow="1" w:lastRow="0" w:firstColumn="1" w:lastColumn="0" w:noHBand="0" w:noVBand="1"/>
      </w:tblPr>
      <w:tblGrid>
        <w:gridCol w:w="270"/>
        <w:gridCol w:w="3127"/>
        <w:gridCol w:w="1985"/>
        <w:gridCol w:w="1701"/>
        <w:gridCol w:w="1984"/>
      </w:tblGrid>
      <w:tr w:rsidR="00594B59">
        <w:trPr>
          <w:trHeight w:val="300"/>
        </w:trPr>
        <w:tc>
          <w:tcPr>
            <w:tcW w:w="9067" w:type="dxa"/>
            <w:gridSpan w:val="5"/>
            <w:tcBorders>
              <w:top w:val="single" w:sz="4" w:space="0" w:color="000000"/>
              <w:left w:val="single" w:sz="4" w:space="0" w:color="000000"/>
              <w:bottom w:val="single" w:sz="4" w:space="0" w:color="000000"/>
              <w:right w:val="single" w:sz="4" w:space="0" w:color="000000"/>
            </w:tcBorders>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CONTO ECONOMICO</w:t>
            </w:r>
          </w:p>
        </w:tc>
      </w:tr>
      <w:tr w:rsidR="00594B59">
        <w:trPr>
          <w:trHeight w:val="66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Voce di Bilancio</w:t>
            </w:r>
          </w:p>
        </w:tc>
        <w:tc>
          <w:tcPr>
            <w:tcW w:w="1985"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Conto economico consolidato                             2024 (A)</w:t>
            </w:r>
          </w:p>
        </w:tc>
        <w:tc>
          <w:tcPr>
            <w:tcW w:w="1701"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Conto economico consolidato                            2023 (B)</w:t>
            </w:r>
          </w:p>
        </w:tc>
        <w:tc>
          <w:tcPr>
            <w:tcW w:w="1984"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xml:space="preserve">Differenza                                   </w:t>
            </w:r>
            <w:proofErr w:type="gramStart"/>
            <w:r>
              <w:rPr>
                <w:rFonts w:ascii="Arial" w:eastAsia="Times New Roman" w:hAnsi="Arial" w:cs="Arial"/>
                <w:b/>
                <w:bCs/>
                <w:i/>
                <w:iCs/>
                <w:sz w:val="18"/>
                <w:szCs w:val="18"/>
                <w:lang w:eastAsia="it-IT"/>
              </w:rPr>
              <w:t xml:space="preserve">   (</w:t>
            </w:r>
            <w:proofErr w:type="gramEnd"/>
            <w:r>
              <w:rPr>
                <w:rFonts w:ascii="Arial" w:eastAsia="Times New Roman" w:hAnsi="Arial" w:cs="Arial"/>
                <w:b/>
                <w:bCs/>
                <w:i/>
                <w:iCs/>
                <w:sz w:val="18"/>
                <w:szCs w:val="18"/>
                <w:lang w:eastAsia="it-IT"/>
              </w:rPr>
              <w:t>A-B)</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A</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componenti positivi della gestione</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53.105.985,60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47.143.246,59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5.962.739,01 </w:t>
            </w:r>
          </w:p>
        </w:tc>
      </w:tr>
      <w:tr w:rsidR="00594B59">
        <w:trPr>
          <w:trHeight w:val="300"/>
        </w:trPr>
        <w:tc>
          <w:tcPr>
            <w:tcW w:w="270" w:type="dxa"/>
            <w:tcBorders>
              <w:left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B</w:t>
            </w:r>
          </w:p>
        </w:tc>
        <w:tc>
          <w:tcPr>
            <w:tcW w:w="3127" w:type="dxa"/>
            <w:tcBorders>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componenti negativi della gestione</w:t>
            </w:r>
          </w:p>
        </w:tc>
        <w:tc>
          <w:tcPr>
            <w:tcW w:w="1985" w:type="dxa"/>
            <w:tcBorders>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50.046.541,55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53.073.630,73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-3.027.089,18 </w:t>
            </w:r>
          </w:p>
        </w:tc>
      </w:tr>
      <w:tr w:rsidR="00594B59">
        <w:trPr>
          <w:trHeight w:val="300"/>
        </w:trPr>
        <w:tc>
          <w:tcPr>
            <w:tcW w:w="270" w:type="dxa"/>
            <w:tcBorders>
              <w:lef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della gestione</w:t>
            </w:r>
          </w:p>
        </w:tc>
        <w:tc>
          <w:tcPr>
            <w:tcW w:w="1985"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3.059.444,05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-5.930.384,14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8.989.828,19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ed oneri finanziari</w:t>
            </w:r>
          </w:p>
        </w:tc>
        <w:tc>
          <w:tcPr>
            <w:tcW w:w="1985"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984"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finanziari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157.960,71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125.367,55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32.593,16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oneri finanziari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152.366,24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115.843,17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36.523,07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D</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Rettifica di valore attività finanziarie</w:t>
            </w:r>
          </w:p>
        </w:tc>
        <w:tc>
          <w:tcPr>
            <w:tcW w:w="1985"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701"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984"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Rivalutazioni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9.744,51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3.453,70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6.290,81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Svalutazioni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34.398,52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61.476,56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-27.078,04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della gestione operativa</w:t>
            </w:r>
          </w:p>
        </w:tc>
        <w:tc>
          <w:tcPr>
            <w:tcW w:w="1985"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3.040.384,51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-5.978.882,62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9.019.267,13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E</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straordinari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3.488.888,48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1.856.931,52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1.631.956,96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E</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oneri straordinari</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1.090.604,00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1.531.602,10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-440.998,10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prima delle imposte</w:t>
            </w:r>
          </w:p>
        </w:tc>
        <w:tc>
          <w:tcPr>
            <w:tcW w:w="1985"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5.438.668,99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-5.653.553,20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11.092.222,19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lastRenderedPageBreak/>
              <w:t> </w:t>
            </w:r>
          </w:p>
        </w:tc>
        <w:tc>
          <w:tcPr>
            <w:tcW w:w="3127" w:type="dxa"/>
            <w:tcBorders>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Imposte</w:t>
            </w:r>
          </w:p>
        </w:tc>
        <w:tc>
          <w:tcPr>
            <w:tcW w:w="1985" w:type="dxa"/>
            <w:tcBorders>
              <w:bottom w:val="single" w:sz="4" w:space="0" w:color="000000"/>
              <w:right w:val="single" w:sz="4" w:space="0" w:color="000000"/>
            </w:tcBorders>
            <w:vAlign w:val="bottom"/>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957.523,72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552.482,58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405.041,14 </w:t>
            </w:r>
          </w:p>
        </w:tc>
      </w:tr>
      <w:tr w:rsidR="00594B59">
        <w:trPr>
          <w:trHeight w:val="48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d'esercizio (comprensivo della quota di pertinenza di terzi)</w:t>
            </w:r>
          </w:p>
        </w:tc>
        <w:tc>
          <w:tcPr>
            <w:tcW w:w="1985"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4.481.145,27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-6.206.035,78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10.687.181,05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dell’esercizio di gruppo</w:t>
            </w:r>
          </w:p>
        </w:tc>
        <w:tc>
          <w:tcPr>
            <w:tcW w:w="1985"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4.480.881,80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-6.206.035,78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10.686.917,58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center"/>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dell’esercizio di pertinenza di terzi</w:t>
            </w:r>
          </w:p>
        </w:tc>
        <w:tc>
          <w:tcPr>
            <w:tcW w:w="1985"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263,47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0,00 </w:t>
            </w:r>
          </w:p>
        </w:tc>
        <w:tc>
          <w:tcPr>
            <w:tcW w:w="1984"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263,47 </w:t>
            </w:r>
          </w:p>
        </w:tc>
      </w:tr>
    </w:tbl>
    <w:p w:rsidR="00594B59" w:rsidRDefault="00594B59">
      <w:pPr>
        <w:spacing w:after="0" w:line="300" w:lineRule="auto"/>
        <w:textAlignment w:val="baseline"/>
        <w:rPr>
          <w:rFonts w:eastAsia="Times New Roman" w:cs="Arial"/>
          <w:b/>
          <w:bCs/>
          <w:color w:val="262626"/>
          <w:kern w:val="2"/>
          <w:lang w:eastAsia="it-IT"/>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I componenti positivi della gestione ammontano ad euro 53.105.985,60 facendo registrare un incremento di euro 5.962.739,01 rispetto all'esercizio 2023 che deriva principalmente da </w:t>
      </w:r>
      <w:r>
        <w:rPr>
          <w:rFonts w:eastAsiaTheme="minorHAnsi" w:cs="Calibri"/>
          <w:iCs/>
          <w:color w:val="404040" w:themeColor="text1" w:themeTint="BF"/>
          <w:kern w:val="0"/>
          <w:szCs w:val="22"/>
        </w:rPr>
        <w:t>maggiori “Proventi da tributi”, “Ricavi delle vendite e prestazioni e proventi da servizi pubblici” nonché da “Altri ricavi e Proventi diversi”;</w:t>
      </w:r>
    </w:p>
    <w:p w:rsidR="00594B59" w:rsidRDefault="00594B59">
      <w:pPr>
        <w:pStyle w:val="Standard"/>
        <w:spacing w:after="0" w:line="240" w:lineRule="auto"/>
        <w:rPr>
          <w:rFonts w:eastAsiaTheme="minorHAnsi" w:cs="Calibri"/>
          <w:iCs/>
          <w:color w:val="auto"/>
          <w:kern w:val="0"/>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Si osserva che, i componenti negativi della gestione, pari a euro 50.046.541,55, evidenziano un decremento ris</w:t>
      </w:r>
      <w:r>
        <w:rPr>
          <w:rFonts w:eastAsiaTheme="minorHAnsi" w:cs="Calibri"/>
          <w:iCs/>
          <w:color w:val="404040" w:themeColor="text1" w:themeTint="BF"/>
          <w:kern w:val="0"/>
          <w:szCs w:val="22"/>
        </w:rPr>
        <w:t>petto all'esercizio 2023 pari a euro 3.027.089,18 principalmente per effetto del decremento della voce “Altri accantonamenti” (- 5.346.830,33) parzialmente compensato dall'incremento delle voci “Prestazioni di servizi”, “Ammortamenti e svalutazioni” e “One</w:t>
      </w:r>
      <w:r>
        <w:rPr>
          <w:rFonts w:eastAsiaTheme="minorHAnsi" w:cs="Calibri"/>
          <w:iCs/>
          <w:color w:val="404040" w:themeColor="text1" w:themeTint="BF"/>
          <w:kern w:val="0"/>
          <w:szCs w:val="22"/>
        </w:rPr>
        <w:t>ri diversi di gestione”;</w:t>
      </w:r>
    </w:p>
    <w:p w:rsidR="00594B59" w:rsidRDefault="00594B59">
      <w:pPr>
        <w:pStyle w:val="Standard"/>
        <w:spacing w:after="0" w:line="240" w:lineRule="auto"/>
        <w:rPr>
          <w:rFonts w:eastAsiaTheme="minorHAnsi" w:cs="Calibri"/>
          <w:iCs/>
          <w:color w:val="auto"/>
          <w:kern w:val="0"/>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Il risultato d'esercizio (comprensivo della quota di pertinenza di terzi) rileva un saldo positivo di euro 4.481.145,27, di cui euro 4.480.881,80 quale risultato d'esercizio di Gruppo ed euro 263,47 di pertinenza di terzi. Si evid</w:t>
      </w:r>
      <w:r>
        <w:rPr>
          <w:rFonts w:eastAsiaTheme="minorHAnsi" w:cs="Calibri"/>
          <w:iCs/>
          <w:color w:val="404040" w:themeColor="text1" w:themeTint="BF"/>
          <w:kern w:val="0"/>
          <w:szCs w:val="22"/>
        </w:rPr>
        <w:t>enzia pertanto un incremento complessivo di euro 10.687.181,05 rispetto al precedente esercizio.</w:t>
      </w:r>
    </w:p>
    <w:p w:rsidR="00594B59" w:rsidRDefault="00594B59">
      <w:pPr>
        <w:pStyle w:val="Standard"/>
        <w:spacing w:after="0" w:line="240" w:lineRule="auto"/>
        <w:rPr>
          <w:rFonts w:eastAsiaTheme="minorHAnsi" w:cs="Calibri"/>
          <w:iCs/>
          <w:color w:val="auto"/>
          <w:kern w:val="0"/>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Nella tabella che segue sono riportati il risultato di esercizio del bilancio consolidato dell’esercizio 2024 e i principali dati aggregati del Conto Economic</w:t>
      </w:r>
      <w:r>
        <w:rPr>
          <w:rFonts w:eastAsiaTheme="minorHAnsi" w:cs="Calibri"/>
          <w:iCs/>
          <w:color w:val="404040" w:themeColor="text1" w:themeTint="BF"/>
          <w:kern w:val="0"/>
          <w:szCs w:val="22"/>
        </w:rPr>
        <w:t>o consolidato esercizio 2024 con evidenza delle variazioni rispetto ai dati del conto economico del Comune di San Donato Milanese (Ente capogruppo):</w:t>
      </w:r>
    </w:p>
    <w:tbl>
      <w:tblPr>
        <w:tblW w:w="9067" w:type="dxa"/>
        <w:tblLayout w:type="fixed"/>
        <w:tblCellMar>
          <w:left w:w="70" w:type="dxa"/>
          <w:right w:w="70" w:type="dxa"/>
        </w:tblCellMar>
        <w:tblLook w:val="04A0" w:firstRow="1" w:lastRow="0" w:firstColumn="1" w:lastColumn="0" w:noHBand="0" w:noVBand="1"/>
      </w:tblPr>
      <w:tblGrid>
        <w:gridCol w:w="270"/>
        <w:gridCol w:w="3127"/>
        <w:gridCol w:w="1842"/>
        <w:gridCol w:w="2127"/>
        <w:gridCol w:w="1701"/>
      </w:tblGrid>
      <w:tr w:rsidR="00594B59">
        <w:trPr>
          <w:trHeight w:val="300"/>
        </w:trPr>
        <w:tc>
          <w:tcPr>
            <w:tcW w:w="9067" w:type="dxa"/>
            <w:gridSpan w:val="5"/>
            <w:tcBorders>
              <w:top w:val="single" w:sz="4" w:space="0" w:color="000000"/>
              <w:left w:val="single" w:sz="4" w:space="0" w:color="000000"/>
              <w:bottom w:val="single" w:sz="4" w:space="0" w:color="000000"/>
              <w:right w:val="single" w:sz="4" w:space="0" w:color="000000"/>
            </w:tcBorders>
            <w:vAlign w:val="bottom"/>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CONTO ECONOMICO</w:t>
            </w:r>
          </w:p>
        </w:tc>
      </w:tr>
      <w:tr w:rsidR="00594B59">
        <w:trPr>
          <w:trHeight w:val="868"/>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Voce di Bilancio</w:t>
            </w:r>
          </w:p>
        </w:tc>
        <w:tc>
          <w:tcPr>
            <w:tcW w:w="1842"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Bilancio consolidato                             2024 (A)</w:t>
            </w:r>
          </w:p>
        </w:tc>
        <w:tc>
          <w:tcPr>
            <w:tcW w:w="2127"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xml:space="preserve">Bilancio </w:t>
            </w:r>
            <w:r>
              <w:rPr>
                <w:rFonts w:ascii="Arial" w:eastAsia="Times New Roman" w:hAnsi="Arial" w:cs="Arial"/>
                <w:b/>
                <w:bCs/>
                <w:i/>
                <w:iCs/>
                <w:sz w:val="18"/>
                <w:szCs w:val="18"/>
                <w:lang w:eastAsia="it-IT"/>
              </w:rPr>
              <w:t>Comune di San Donato Milanese                         2024 (B)</w:t>
            </w:r>
          </w:p>
        </w:tc>
        <w:tc>
          <w:tcPr>
            <w:tcW w:w="1701" w:type="dxa"/>
            <w:tcBorders>
              <w:bottom w:val="single" w:sz="4" w:space="0" w:color="000000"/>
              <w:right w:val="single" w:sz="4" w:space="0" w:color="000000"/>
            </w:tcBorders>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xml:space="preserve">Differenza                                   </w:t>
            </w:r>
            <w:proofErr w:type="gramStart"/>
            <w:r>
              <w:rPr>
                <w:rFonts w:ascii="Arial" w:eastAsia="Times New Roman" w:hAnsi="Arial" w:cs="Arial"/>
                <w:b/>
                <w:bCs/>
                <w:i/>
                <w:iCs/>
                <w:sz w:val="18"/>
                <w:szCs w:val="18"/>
                <w:lang w:eastAsia="it-IT"/>
              </w:rPr>
              <w:t xml:space="preserve">   (</w:t>
            </w:r>
            <w:proofErr w:type="gramEnd"/>
            <w:r>
              <w:rPr>
                <w:rFonts w:ascii="Arial" w:eastAsia="Times New Roman" w:hAnsi="Arial" w:cs="Arial"/>
                <w:b/>
                <w:bCs/>
                <w:i/>
                <w:iCs/>
                <w:sz w:val="18"/>
                <w:szCs w:val="18"/>
                <w:lang w:eastAsia="it-IT"/>
              </w:rPr>
              <w:t>A-B)</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A</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componenti positivi della gestione</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53.105.985,60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37.655.393,28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15.450.592,32 </w:t>
            </w:r>
          </w:p>
        </w:tc>
      </w:tr>
      <w:tr w:rsidR="00594B59">
        <w:trPr>
          <w:trHeight w:val="300"/>
        </w:trPr>
        <w:tc>
          <w:tcPr>
            <w:tcW w:w="270" w:type="dxa"/>
            <w:tcBorders>
              <w:left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B</w:t>
            </w:r>
          </w:p>
        </w:tc>
        <w:tc>
          <w:tcPr>
            <w:tcW w:w="3127" w:type="dxa"/>
            <w:tcBorders>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componenti negativi della gestione</w:t>
            </w:r>
          </w:p>
        </w:tc>
        <w:tc>
          <w:tcPr>
            <w:tcW w:w="1842" w:type="dxa"/>
            <w:tcBorders>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50.046.541,55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35.974.751,60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14.071.789,95 </w:t>
            </w:r>
          </w:p>
        </w:tc>
      </w:tr>
      <w:tr w:rsidR="00594B59">
        <w:trPr>
          <w:trHeight w:val="300"/>
        </w:trPr>
        <w:tc>
          <w:tcPr>
            <w:tcW w:w="270" w:type="dxa"/>
            <w:tcBorders>
              <w:lef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della gestione</w:t>
            </w:r>
          </w:p>
        </w:tc>
        <w:tc>
          <w:tcPr>
            <w:tcW w:w="184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3.059.444,05 </w:t>
            </w:r>
          </w:p>
        </w:tc>
        <w:tc>
          <w:tcPr>
            <w:tcW w:w="2127"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1.680.641,68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1.378.802,37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C</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ed oneri finanziari</w:t>
            </w:r>
          </w:p>
        </w:tc>
        <w:tc>
          <w:tcPr>
            <w:tcW w:w="1842"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finanziari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157.960,71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4,99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157.955,72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oneri finanziari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152.366,24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0,00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152.366,24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D</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Rettifica di</w:t>
            </w:r>
            <w:r>
              <w:rPr>
                <w:rFonts w:ascii="Arial" w:eastAsia="Times New Roman" w:hAnsi="Arial" w:cs="Arial"/>
                <w:i/>
                <w:iCs/>
                <w:sz w:val="18"/>
                <w:szCs w:val="18"/>
                <w:lang w:eastAsia="it-IT"/>
              </w:rPr>
              <w:t xml:space="preserve"> valore attività finanziarie</w:t>
            </w:r>
          </w:p>
        </w:tc>
        <w:tc>
          <w:tcPr>
            <w:tcW w:w="1842"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2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1701"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Rivalutazioni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9.744,51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0,00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9.744,51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Svalutazioni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34.398,52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33.974,41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424,11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della gestione operativa</w:t>
            </w:r>
          </w:p>
        </w:tc>
        <w:tc>
          <w:tcPr>
            <w:tcW w:w="184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3.040.384,51 </w:t>
            </w:r>
          </w:p>
        </w:tc>
        <w:tc>
          <w:tcPr>
            <w:tcW w:w="2127"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1.646.672,26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1.393.712,25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E</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proventi straordinari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3.488.888,48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3.447.500,19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41.388,29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E</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oneri straordinari</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1.090.604,00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1.061.873,11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28.730,89 </w:t>
            </w:r>
          </w:p>
        </w:tc>
      </w:tr>
      <w:tr w:rsidR="00594B59">
        <w:trPr>
          <w:trHeight w:val="300"/>
        </w:trPr>
        <w:tc>
          <w:tcPr>
            <w:tcW w:w="270" w:type="dxa"/>
            <w:tcBorders>
              <w:left w:val="single" w:sz="4" w:space="0" w:color="000000"/>
              <w:bottom w:val="single" w:sz="4" w:space="0" w:color="000000"/>
              <w:right w:val="single" w:sz="4" w:space="0" w:color="000000"/>
            </w:tcBorders>
            <w:vAlign w:val="center"/>
          </w:tcPr>
          <w:p w:rsidR="00594B59" w:rsidRDefault="00D11D2E">
            <w:pPr>
              <w:spacing w:after="0" w:line="240" w:lineRule="auto"/>
              <w:jc w:val="center"/>
              <w:rPr>
                <w:rFonts w:ascii="Arial" w:eastAsia="Times New Roman" w:hAnsi="Arial" w:cs="Arial"/>
                <w:b/>
                <w:bCs/>
                <w:i/>
                <w:iCs/>
                <w:color w:val="auto"/>
                <w:sz w:val="18"/>
                <w:szCs w:val="18"/>
                <w:lang w:eastAsia="it-IT"/>
              </w:rPr>
            </w:pPr>
            <w:r>
              <w:rPr>
                <w:rFonts w:ascii="Arial" w:eastAsia="Times New Roman" w:hAnsi="Arial" w:cs="Arial"/>
                <w:b/>
                <w:bCs/>
                <w:i/>
                <w:iCs/>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prima delle imposte</w:t>
            </w:r>
          </w:p>
        </w:tc>
        <w:tc>
          <w:tcPr>
            <w:tcW w:w="184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5.438.668,99 </w:t>
            </w:r>
          </w:p>
        </w:tc>
        <w:tc>
          <w:tcPr>
            <w:tcW w:w="2127"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4.032.299,34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1.406.369,65 </w:t>
            </w:r>
          </w:p>
        </w:tc>
      </w:tr>
      <w:tr w:rsidR="00594B59">
        <w:trPr>
          <w:trHeight w:val="255"/>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Imposte</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957.523,72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511.541,73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445.981,99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Risultato d'esercizio comprensivo della quota di </w:t>
            </w:r>
            <w:r>
              <w:rPr>
                <w:rFonts w:ascii="Arial" w:eastAsia="Times New Roman" w:hAnsi="Arial" w:cs="Arial"/>
                <w:b/>
                <w:bCs/>
                <w:sz w:val="18"/>
                <w:szCs w:val="18"/>
                <w:lang w:eastAsia="it-IT"/>
              </w:rPr>
              <w:t>terzi</w:t>
            </w:r>
          </w:p>
        </w:tc>
        <w:tc>
          <w:tcPr>
            <w:tcW w:w="184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4.481.145,27 </w:t>
            </w:r>
          </w:p>
        </w:tc>
        <w:tc>
          <w:tcPr>
            <w:tcW w:w="2127"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3.520.757,61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960.387,66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lastRenderedPageBreak/>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dell’esercizio di gruppo</w:t>
            </w:r>
          </w:p>
        </w:tc>
        <w:tc>
          <w:tcPr>
            <w:tcW w:w="1842"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 xml:space="preserve">4.480.881,80 </w:t>
            </w:r>
          </w:p>
        </w:tc>
        <w:tc>
          <w:tcPr>
            <w:tcW w:w="2127" w:type="dxa"/>
            <w:tcBorders>
              <w:bottom w:val="single" w:sz="4" w:space="0" w:color="000000"/>
              <w:right w:val="single" w:sz="4" w:space="0" w:color="000000"/>
            </w:tcBorders>
            <w:vAlign w:val="center"/>
          </w:tcPr>
          <w:p w:rsidR="00594B59" w:rsidRDefault="00D11D2E">
            <w:pPr>
              <w:spacing w:after="0" w:line="240" w:lineRule="auto"/>
              <w:jc w:val="right"/>
              <w:rPr>
                <w:rFonts w:ascii="Arial" w:eastAsia="Times New Roman" w:hAnsi="Arial" w:cs="Arial"/>
                <w:color w:val="auto"/>
                <w:sz w:val="18"/>
                <w:szCs w:val="18"/>
                <w:lang w:eastAsia="it-IT"/>
              </w:rPr>
            </w:pPr>
            <w:r>
              <w:rPr>
                <w:rFonts w:ascii="Arial" w:eastAsia="Times New Roman" w:hAnsi="Arial" w:cs="Arial"/>
                <w:sz w:val="18"/>
                <w:szCs w:val="18"/>
                <w:lang w:eastAsia="it-IT"/>
              </w:rPr>
              <w:t xml:space="preserve">3.520.757,61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960.124,19 </w:t>
            </w:r>
          </w:p>
        </w:tc>
      </w:tr>
      <w:tr w:rsidR="00594B59">
        <w:trPr>
          <w:trHeight w:val="300"/>
        </w:trPr>
        <w:tc>
          <w:tcPr>
            <w:tcW w:w="270" w:type="dxa"/>
            <w:tcBorders>
              <w:left w:val="single" w:sz="4" w:space="0" w:color="000000"/>
              <w:bottom w:val="single" w:sz="4" w:space="0" w:color="000000"/>
              <w:right w:val="single" w:sz="4" w:space="0" w:color="000000"/>
            </w:tcBorders>
            <w:vAlign w:val="bottom"/>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w:t>
            </w:r>
          </w:p>
        </w:tc>
        <w:tc>
          <w:tcPr>
            <w:tcW w:w="3127" w:type="dxa"/>
            <w:tcBorders>
              <w:bottom w:val="single" w:sz="4" w:space="0" w:color="000000"/>
              <w:right w:val="single" w:sz="4" w:space="0" w:color="000000"/>
            </w:tcBorders>
            <w:vAlign w:val="center"/>
          </w:tcPr>
          <w:p w:rsidR="00594B59" w:rsidRDefault="00D11D2E">
            <w:pPr>
              <w:spacing w:after="0" w:line="240" w:lineRule="auto"/>
              <w:jc w:val="lef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Risultato dell’esercizio di pertinenza di terzi</w:t>
            </w:r>
          </w:p>
        </w:tc>
        <w:tc>
          <w:tcPr>
            <w:tcW w:w="1842"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263,47 </w:t>
            </w:r>
          </w:p>
        </w:tc>
        <w:tc>
          <w:tcPr>
            <w:tcW w:w="2127"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b/>
                <w:bCs/>
                <w:color w:val="auto"/>
                <w:sz w:val="18"/>
                <w:szCs w:val="18"/>
                <w:lang w:eastAsia="it-IT"/>
              </w:rPr>
            </w:pPr>
            <w:r>
              <w:rPr>
                <w:rFonts w:ascii="Arial" w:eastAsia="Times New Roman" w:hAnsi="Arial" w:cs="Arial"/>
                <w:b/>
                <w:bCs/>
                <w:sz w:val="18"/>
                <w:szCs w:val="18"/>
                <w:lang w:eastAsia="it-IT"/>
              </w:rPr>
              <w:t xml:space="preserve">0,00 </w:t>
            </w:r>
          </w:p>
        </w:tc>
        <w:tc>
          <w:tcPr>
            <w:tcW w:w="1701" w:type="dxa"/>
            <w:tcBorders>
              <w:bottom w:val="single" w:sz="4" w:space="0" w:color="000000"/>
              <w:right w:val="single" w:sz="4" w:space="0" w:color="000000"/>
            </w:tcBorders>
            <w:shd w:val="clear" w:color="000000" w:fill="8DB4E2"/>
            <w:vAlign w:val="center"/>
          </w:tcPr>
          <w:p w:rsidR="00594B59" w:rsidRDefault="00D11D2E">
            <w:pPr>
              <w:spacing w:after="0" w:line="240" w:lineRule="auto"/>
              <w:jc w:val="right"/>
              <w:rPr>
                <w:rFonts w:ascii="Arial" w:eastAsia="Times New Roman" w:hAnsi="Arial" w:cs="Arial"/>
                <w:i/>
                <w:iCs/>
                <w:color w:val="auto"/>
                <w:sz w:val="18"/>
                <w:szCs w:val="18"/>
                <w:lang w:eastAsia="it-IT"/>
              </w:rPr>
            </w:pPr>
            <w:r>
              <w:rPr>
                <w:rFonts w:ascii="Arial" w:eastAsia="Times New Roman" w:hAnsi="Arial" w:cs="Arial"/>
                <w:i/>
                <w:iCs/>
                <w:sz w:val="18"/>
                <w:szCs w:val="18"/>
                <w:lang w:eastAsia="it-IT"/>
              </w:rPr>
              <w:t xml:space="preserve">263,47 </w:t>
            </w:r>
          </w:p>
        </w:tc>
      </w:tr>
    </w:tbl>
    <w:p w:rsidR="00594B59" w:rsidRDefault="00594B59">
      <w:pPr>
        <w:pStyle w:val="Standard"/>
        <w:spacing w:after="0" w:line="240" w:lineRule="auto"/>
        <w:rPr>
          <w:rFonts w:eastAsiaTheme="minorHAnsi" w:cs="Calibri"/>
          <w:iCs/>
          <w:color w:val="auto"/>
          <w:kern w:val="0"/>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Si osserva che il risultato d'esercizio di Gruppo è </w:t>
      </w:r>
      <w:r>
        <w:rPr>
          <w:rFonts w:eastAsiaTheme="minorHAnsi" w:cs="Calibri"/>
          <w:iCs/>
          <w:color w:val="404040" w:themeColor="text1" w:themeTint="BF"/>
          <w:kern w:val="0"/>
          <w:szCs w:val="22"/>
        </w:rPr>
        <w:t>positivo per euro 4.480.881,80 e registra un incremento di euro 960.124,19 rispetto al risultato d'esercizio del Comune di San Donato Milanese pari a euro 3.520.757,61.</w:t>
      </w:r>
    </w:p>
    <w:p w:rsidR="00594B59" w:rsidRDefault="00594B59">
      <w:pPr>
        <w:pStyle w:val="Standard"/>
        <w:spacing w:after="0" w:line="240" w:lineRule="auto"/>
        <w:rPr>
          <w:rFonts w:eastAsiaTheme="minorHAnsi" w:cs="Calibri"/>
          <w:iCs/>
          <w:color w:val="auto"/>
          <w:kern w:val="0"/>
          <w:szCs w:val="22"/>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Il dettaglio delle voci relative alle componenti positive di reddito per le quali sono</w:t>
      </w:r>
      <w:r>
        <w:rPr>
          <w:rFonts w:eastAsiaTheme="minorHAnsi" w:cs="Calibri"/>
          <w:iCs/>
          <w:color w:val="404040" w:themeColor="text1" w:themeTint="BF"/>
          <w:kern w:val="0"/>
          <w:szCs w:val="22"/>
        </w:rPr>
        <w:t xml:space="preserve"> state operate elisioni di importo significativo è riportato nella seguente tabella:</w:t>
      </w:r>
    </w:p>
    <w:tbl>
      <w:tblPr>
        <w:tblW w:w="9067" w:type="dxa"/>
        <w:tblLayout w:type="fixed"/>
        <w:tblCellMar>
          <w:left w:w="70" w:type="dxa"/>
          <w:right w:w="70" w:type="dxa"/>
        </w:tblCellMar>
        <w:tblLook w:val="04A0" w:firstRow="1" w:lastRow="0" w:firstColumn="1" w:lastColumn="0" w:noHBand="0" w:noVBand="1"/>
      </w:tblPr>
      <w:tblGrid>
        <w:gridCol w:w="3965"/>
        <w:gridCol w:w="1701"/>
        <w:gridCol w:w="1701"/>
        <w:gridCol w:w="1700"/>
      </w:tblGrid>
      <w:tr w:rsidR="00594B59">
        <w:trPr>
          <w:trHeight w:val="480"/>
        </w:trPr>
        <w:tc>
          <w:tcPr>
            <w:tcW w:w="3964" w:type="dxa"/>
            <w:tcBorders>
              <w:top w:val="single" w:sz="4" w:space="0" w:color="000000"/>
              <w:left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Componenti positivi</w:t>
            </w:r>
          </w:p>
        </w:tc>
        <w:tc>
          <w:tcPr>
            <w:tcW w:w="1701"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Valori da consolidamento</w:t>
            </w:r>
          </w:p>
        </w:tc>
        <w:tc>
          <w:tcPr>
            <w:tcW w:w="1701"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Elisioni</w:t>
            </w:r>
          </w:p>
        </w:tc>
        <w:tc>
          <w:tcPr>
            <w:tcW w:w="1700"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Valore in Bilancio consolidato 2024</w:t>
            </w:r>
          </w:p>
        </w:tc>
      </w:tr>
      <w:tr w:rsidR="00594B59">
        <w:trPr>
          <w:trHeight w:val="299"/>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Proventi da tributi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18.371.825,01 </w:t>
            </w:r>
          </w:p>
        </w:tc>
        <w:tc>
          <w:tcPr>
            <w:tcW w:w="1701" w:type="dxa"/>
            <w:tcBorders>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- 1.181,55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w:t>
            </w:r>
            <w:r>
              <w:rPr>
                <w:rFonts w:ascii="Arial" w:eastAsia="Times New Roman" w:hAnsi="Arial" w:cs="Arial"/>
                <w:sz w:val="18"/>
                <w:szCs w:val="18"/>
                <w:lang w:eastAsia="it-IT"/>
              </w:rPr>
              <w:t xml:space="preserve">18.360.643,46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Proventi da trasferimenti e contributi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6.044.215,69 </w:t>
            </w:r>
          </w:p>
        </w:tc>
        <w:tc>
          <w:tcPr>
            <w:tcW w:w="1701" w:type="dxa"/>
            <w:tcBorders>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- 94.455,54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5.949.760,15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Ricavi delle vendite e prestazioni e proventi da servizi pubblici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19.384.592,08 </w:t>
            </w:r>
          </w:p>
        </w:tc>
        <w:tc>
          <w:tcPr>
            <w:tcW w:w="1701" w:type="dxa"/>
            <w:tcBorders>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- 166.085,52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w:t>
            </w:r>
            <w:r>
              <w:rPr>
                <w:rFonts w:ascii="Arial" w:eastAsia="Times New Roman" w:hAnsi="Arial" w:cs="Arial"/>
                <w:sz w:val="18"/>
                <w:szCs w:val="18"/>
                <w:lang w:eastAsia="it-IT"/>
              </w:rPr>
              <w:t xml:space="preserve">19.218.506,56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Variazione dei lavori in corso su ordinazione</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763,42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763,42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Incrementi di immobilizzazioni per lavori interni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1.515.584,01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w:t>
            </w: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1.515.584,01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Altri ricavi e proventi diversi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8.063.006,98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- 2.278,98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8.060.728,00 </w:t>
            </w:r>
          </w:p>
        </w:tc>
      </w:tr>
      <w:tr w:rsidR="00594B59">
        <w:trPr>
          <w:trHeight w:val="300"/>
        </w:trPr>
        <w:tc>
          <w:tcPr>
            <w:tcW w:w="3964" w:type="dxa"/>
            <w:tcBorders>
              <w:left w:val="single" w:sz="4" w:space="0" w:color="000000"/>
              <w:bottom w:val="single" w:sz="4" w:space="0" w:color="000000"/>
              <w:right w:val="single" w:sz="4" w:space="0" w:color="000000"/>
            </w:tcBorders>
            <w:shd w:val="clear" w:color="000000" w:fill="8DB4E2"/>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w:t>
            </w:r>
          </w:p>
        </w:tc>
        <w:tc>
          <w:tcPr>
            <w:tcW w:w="1701" w:type="dxa"/>
            <w:tcBorders>
              <w:bottom w:val="single" w:sz="4" w:space="0" w:color="000000"/>
              <w:right w:val="single" w:sz="4" w:space="0" w:color="000000"/>
            </w:tcBorders>
            <w:shd w:val="clear" w:color="000000" w:fill="8DB4E2"/>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53.379.987,19 </w:t>
            </w:r>
          </w:p>
        </w:tc>
        <w:tc>
          <w:tcPr>
            <w:tcW w:w="1701" w:type="dxa"/>
            <w:tcBorders>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- 274.001,59 </w:t>
            </w:r>
          </w:p>
        </w:tc>
        <w:tc>
          <w:tcPr>
            <w:tcW w:w="1700" w:type="dxa"/>
            <w:tcBorders>
              <w:bottom w:val="single" w:sz="4" w:space="0" w:color="000000"/>
              <w:right w:val="single" w:sz="4" w:space="0" w:color="000000"/>
            </w:tcBorders>
            <w:shd w:val="clear" w:color="000000" w:fill="8DB4E2"/>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53.105.985,60 </w:t>
            </w:r>
          </w:p>
        </w:tc>
      </w:tr>
    </w:tbl>
    <w:p w:rsidR="00594B59" w:rsidRDefault="00594B59">
      <w:pPr>
        <w:pStyle w:val="Standard"/>
        <w:spacing w:after="0" w:line="240" w:lineRule="auto"/>
        <w:rPr>
          <w:rFonts w:asciiTheme="minorHAnsi" w:eastAsiaTheme="minorEastAsia" w:hAnsiTheme="minorHAnsi" w:cstheme="minorHAnsi"/>
          <w:b/>
          <w:bCs/>
          <w:color w:val="262626" w:themeColor="text1" w:themeTint="D9"/>
          <w:kern w:val="0"/>
          <w:sz w:val="26"/>
          <w:szCs w:val="26"/>
          <w:u w:val="single"/>
        </w:rPr>
      </w:pPr>
    </w:p>
    <w:p w:rsidR="00594B59" w:rsidRDefault="00D11D2E">
      <w:pPr>
        <w:pStyle w:val="Standard"/>
        <w:spacing w:after="0" w:line="240" w:lineRule="auto"/>
        <w:rPr>
          <w:rFonts w:eastAsiaTheme="minorHAnsi" w:cs="Calibri"/>
          <w:iCs/>
          <w:color w:val="auto"/>
          <w:kern w:val="0"/>
          <w:szCs w:val="22"/>
        </w:rPr>
      </w:pPr>
      <w:r>
        <w:rPr>
          <w:rFonts w:eastAsiaTheme="minorHAnsi" w:cs="Calibri"/>
          <w:iCs/>
          <w:color w:val="404040" w:themeColor="text1" w:themeTint="BF"/>
          <w:kern w:val="0"/>
          <w:szCs w:val="22"/>
        </w:rPr>
        <w:t xml:space="preserve">Il dettaglio delle voci relative alle componenti </w:t>
      </w:r>
      <w:r>
        <w:rPr>
          <w:rFonts w:eastAsiaTheme="minorHAnsi" w:cs="Calibri"/>
          <w:iCs/>
          <w:color w:val="404040" w:themeColor="text1" w:themeTint="BF"/>
          <w:kern w:val="0"/>
          <w:szCs w:val="22"/>
        </w:rPr>
        <w:t>negative di reddito per le quali sono state operate elisioni di importo significativo è riportato nella seguente tabella:</w:t>
      </w:r>
    </w:p>
    <w:tbl>
      <w:tblPr>
        <w:tblW w:w="9067" w:type="dxa"/>
        <w:tblLayout w:type="fixed"/>
        <w:tblCellMar>
          <w:left w:w="70" w:type="dxa"/>
          <w:right w:w="70" w:type="dxa"/>
        </w:tblCellMar>
        <w:tblLook w:val="04A0" w:firstRow="1" w:lastRow="0" w:firstColumn="1" w:lastColumn="0" w:noHBand="0" w:noVBand="1"/>
      </w:tblPr>
      <w:tblGrid>
        <w:gridCol w:w="3965"/>
        <w:gridCol w:w="1701"/>
        <w:gridCol w:w="1701"/>
        <w:gridCol w:w="1700"/>
      </w:tblGrid>
      <w:tr w:rsidR="00594B59">
        <w:trPr>
          <w:trHeight w:val="411"/>
        </w:trPr>
        <w:tc>
          <w:tcPr>
            <w:tcW w:w="3964" w:type="dxa"/>
            <w:tcBorders>
              <w:top w:val="single" w:sz="4" w:space="0" w:color="000000"/>
              <w:left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Componenti negativi</w:t>
            </w:r>
          </w:p>
        </w:tc>
        <w:tc>
          <w:tcPr>
            <w:tcW w:w="1701"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Valori da consolidamento</w:t>
            </w:r>
          </w:p>
        </w:tc>
        <w:tc>
          <w:tcPr>
            <w:tcW w:w="1701"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Elisioni</w:t>
            </w:r>
          </w:p>
        </w:tc>
        <w:tc>
          <w:tcPr>
            <w:tcW w:w="1700" w:type="dxa"/>
            <w:tcBorders>
              <w:top w:val="single" w:sz="4" w:space="0" w:color="000000"/>
              <w:bottom w:val="single" w:sz="4" w:space="0" w:color="000000"/>
              <w:right w:val="single" w:sz="4" w:space="0" w:color="000000"/>
            </w:tcBorders>
            <w:shd w:val="clear" w:color="000000" w:fill="8DB4E2"/>
          </w:tcPr>
          <w:p w:rsidR="00594B59" w:rsidRDefault="00D11D2E">
            <w:pPr>
              <w:spacing w:after="0" w:line="240" w:lineRule="auto"/>
              <w:jc w:val="center"/>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Valore in Bilancio consolidato 2024</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Acquisto di materie prime e/o beni di </w:t>
            </w:r>
            <w:r>
              <w:rPr>
                <w:rFonts w:ascii="Arial" w:eastAsia="Times New Roman" w:hAnsi="Arial" w:cs="Arial"/>
                <w:sz w:val="18"/>
                <w:szCs w:val="18"/>
                <w:lang w:eastAsia="it-IT"/>
              </w:rPr>
              <w:t>consumo</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4.311.868,50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4.311.868,50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Prestazioni di servizi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25.407.964,87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- 255.633,74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25.152.331,13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Utilizzo beni di terzi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296.220,82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- 11.762,50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284.458,32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Trasferimenti e contributi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2.147.764,76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- 17.113,17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2.130.651,59 </w:t>
            </w:r>
          </w:p>
        </w:tc>
      </w:tr>
      <w:tr w:rsidR="00594B59">
        <w:trPr>
          <w:trHeight w:val="203"/>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Personale</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10.758.393,82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10.758.393,82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Ammortamenti e svalutazioni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6.295.612,71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- 23.191,00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w:t>
            </w:r>
            <w:r>
              <w:rPr>
                <w:rFonts w:ascii="Arial" w:eastAsia="Times New Roman" w:hAnsi="Arial" w:cs="Arial"/>
                <w:sz w:val="18"/>
                <w:szCs w:val="18"/>
                <w:lang w:eastAsia="it-IT"/>
              </w:rPr>
              <w:t xml:space="preserve">6.272.421,71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Variazioni nelle rimanenze di materie prime e/o beni di consumo</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- 44.598,22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- 44.598,22 </w:t>
            </w:r>
          </w:p>
        </w:tc>
      </w:tr>
      <w:tr w:rsidR="00594B59">
        <w:trPr>
          <w:trHeight w:val="319"/>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Accantonamenti per rischi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11.478,04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11.478,04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Altri accantonamenti</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30.124,12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30.124,12 </w:t>
            </w:r>
          </w:p>
        </w:tc>
      </w:tr>
      <w:tr w:rsidR="00594B59">
        <w:trPr>
          <w:trHeight w:val="300"/>
        </w:trPr>
        <w:tc>
          <w:tcPr>
            <w:tcW w:w="3964" w:type="dxa"/>
            <w:tcBorders>
              <w:left w:val="single" w:sz="4" w:space="0" w:color="000000"/>
              <w:bottom w:val="single" w:sz="4" w:space="0" w:color="000000"/>
              <w:right w:val="single" w:sz="4" w:space="0" w:color="000000"/>
            </w:tcBorders>
          </w:tcPr>
          <w:p w:rsidR="00594B59" w:rsidRDefault="00D11D2E">
            <w:pPr>
              <w:spacing w:after="0" w:line="240" w:lineRule="auto"/>
              <w:jc w:val="left"/>
              <w:rPr>
                <w:rFonts w:ascii="Arial" w:eastAsia="Times New Roman" w:hAnsi="Arial" w:cs="Arial"/>
                <w:color w:val="000000"/>
                <w:sz w:val="18"/>
                <w:szCs w:val="18"/>
                <w:lang w:eastAsia="it-IT"/>
              </w:rPr>
            </w:pPr>
            <w:r>
              <w:rPr>
                <w:rFonts w:ascii="Arial" w:eastAsia="Times New Roman" w:hAnsi="Arial" w:cs="Arial"/>
                <w:sz w:val="18"/>
                <w:szCs w:val="18"/>
                <w:lang w:eastAsia="it-IT"/>
              </w:rPr>
              <w:t>Oneri diversi di gestione</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1.155.043,02 </w:t>
            </w:r>
          </w:p>
        </w:tc>
        <w:tc>
          <w:tcPr>
            <w:tcW w:w="1701"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- 15.630,48 </w:t>
            </w:r>
          </w:p>
        </w:tc>
        <w:tc>
          <w:tcPr>
            <w:tcW w:w="1700" w:type="dxa"/>
            <w:tcBorders>
              <w:bottom w:val="single" w:sz="4" w:space="0" w:color="000000"/>
              <w:right w:val="single" w:sz="4" w:space="0" w:color="000000"/>
            </w:tcBorders>
          </w:tcPr>
          <w:p w:rsidR="00594B59" w:rsidRDefault="00D11D2E">
            <w:pPr>
              <w:spacing w:after="0" w:line="240" w:lineRule="auto"/>
              <w:jc w:val="right"/>
              <w:rPr>
                <w:rFonts w:ascii="Arial" w:eastAsia="Times New Roman" w:hAnsi="Arial" w:cs="Arial"/>
                <w:color w:val="000000"/>
                <w:sz w:val="18"/>
                <w:szCs w:val="18"/>
                <w:lang w:eastAsia="it-IT"/>
              </w:rPr>
            </w:pPr>
            <w:r>
              <w:rPr>
                <w:rFonts w:ascii="Arial" w:eastAsia="Times New Roman" w:hAnsi="Arial" w:cs="Arial"/>
                <w:sz w:val="18"/>
                <w:szCs w:val="18"/>
                <w:lang w:eastAsia="it-IT"/>
              </w:rPr>
              <w:t xml:space="preserve">        1.139.412,54 </w:t>
            </w:r>
          </w:p>
        </w:tc>
      </w:tr>
      <w:tr w:rsidR="00594B59">
        <w:trPr>
          <w:trHeight w:val="300"/>
        </w:trPr>
        <w:tc>
          <w:tcPr>
            <w:tcW w:w="3964" w:type="dxa"/>
            <w:tcBorders>
              <w:left w:val="single" w:sz="4" w:space="0" w:color="000000"/>
              <w:bottom w:val="single" w:sz="4" w:space="0" w:color="000000"/>
              <w:right w:val="single" w:sz="4" w:space="0" w:color="000000"/>
            </w:tcBorders>
            <w:shd w:val="clear" w:color="000000" w:fill="8DB4E2"/>
          </w:tcPr>
          <w:p w:rsidR="00594B59" w:rsidRDefault="00D11D2E">
            <w:pPr>
              <w:spacing w:after="0" w:line="240" w:lineRule="auto"/>
              <w:jc w:val="lef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Totale</w:t>
            </w:r>
          </w:p>
        </w:tc>
        <w:tc>
          <w:tcPr>
            <w:tcW w:w="1701" w:type="dxa"/>
            <w:tcBorders>
              <w:bottom w:val="single" w:sz="4" w:space="0" w:color="000000"/>
              <w:right w:val="single" w:sz="4" w:space="0" w:color="000000"/>
            </w:tcBorders>
            <w:shd w:val="clear" w:color="000000" w:fill="8DB4E2"/>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50.369.872,44 </w:t>
            </w:r>
          </w:p>
        </w:tc>
        <w:tc>
          <w:tcPr>
            <w:tcW w:w="1701" w:type="dxa"/>
            <w:tcBorders>
              <w:bottom w:val="single" w:sz="4" w:space="0" w:color="000000"/>
              <w:right w:val="single" w:sz="4" w:space="0" w:color="000000"/>
            </w:tcBorders>
            <w:shd w:val="clear" w:color="000000" w:fill="8DB4E2"/>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- 323.330,89 </w:t>
            </w:r>
          </w:p>
        </w:tc>
        <w:tc>
          <w:tcPr>
            <w:tcW w:w="1700" w:type="dxa"/>
            <w:tcBorders>
              <w:bottom w:val="single" w:sz="4" w:space="0" w:color="000000"/>
              <w:right w:val="single" w:sz="4" w:space="0" w:color="000000"/>
            </w:tcBorders>
            <w:shd w:val="clear" w:color="000000" w:fill="8DB4E2"/>
          </w:tcPr>
          <w:p w:rsidR="00594B59" w:rsidRDefault="00D11D2E">
            <w:pPr>
              <w:spacing w:after="0" w:line="240" w:lineRule="auto"/>
              <w:jc w:val="right"/>
              <w:rPr>
                <w:rFonts w:ascii="Arial" w:eastAsia="Times New Roman" w:hAnsi="Arial" w:cs="Arial"/>
                <w:b/>
                <w:bCs/>
                <w:color w:val="000000"/>
                <w:sz w:val="18"/>
                <w:szCs w:val="18"/>
                <w:lang w:eastAsia="it-IT"/>
              </w:rPr>
            </w:pPr>
            <w:r>
              <w:rPr>
                <w:rFonts w:ascii="Arial" w:eastAsia="Times New Roman" w:hAnsi="Arial" w:cs="Arial"/>
                <w:b/>
                <w:bCs/>
                <w:sz w:val="18"/>
                <w:szCs w:val="18"/>
                <w:lang w:eastAsia="it-IT"/>
              </w:rPr>
              <w:t xml:space="preserve">      </w:t>
            </w:r>
            <w:r>
              <w:rPr>
                <w:rFonts w:ascii="Arial" w:eastAsia="Times New Roman" w:hAnsi="Arial" w:cs="Arial"/>
                <w:b/>
                <w:bCs/>
                <w:sz w:val="18"/>
                <w:szCs w:val="18"/>
                <w:lang w:eastAsia="it-IT"/>
              </w:rPr>
              <w:t xml:space="preserve">50.046.541,55 </w:t>
            </w:r>
          </w:p>
        </w:tc>
      </w:tr>
    </w:tbl>
    <w:p w:rsidR="00594B59" w:rsidRDefault="00594B59">
      <w:pPr>
        <w:pStyle w:val="Standard"/>
        <w:spacing w:after="0" w:line="240" w:lineRule="auto"/>
        <w:rPr>
          <w:rFonts w:eastAsiaTheme="minorHAnsi" w:cs="Calibri"/>
          <w:iCs/>
          <w:color w:val="auto"/>
          <w:kern w:val="0"/>
          <w:szCs w:val="22"/>
        </w:rPr>
      </w:pPr>
    </w:p>
    <w:p w:rsidR="00594B59" w:rsidRDefault="00D11D2E">
      <w:pPr>
        <w:pStyle w:val="Titolo1"/>
        <w:numPr>
          <w:ilvl w:val="0"/>
          <w:numId w:val="2"/>
        </w:numPr>
        <w:spacing w:before="0" w:after="0" w:line="240" w:lineRule="auto"/>
      </w:pPr>
      <w:bookmarkStart w:id="12" w:name="_Toc207873594"/>
      <w:r>
        <w:t>Relazione sulla gestione consolidata e nota integrativa</w:t>
      </w:r>
      <w:bookmarkEnd w:id="12"/>
    </w:p>
    <w:p w:rsidR="00594B59" w:rsidRDefault="00D11D2E">
      <w:pPr>
        <w:tabs>
          <w:tab w:val="left" w:pos="284"/>
        </w:tabs>
        <w:spacing w:after="0" w:line="240" w:lineRule="auto"/>
        <w:rPr>
          <w:rFonts w:eastAsiaTheme="minorHAnsi" w:cs="Calibri"/>
          <w:color w:val="262626" w:themeColor="text1" w:themeTint="D9"/>
          <w:szCs w:val="22"/>
        </w:rPr>
      </w:pPr>
      <w:r>
        <w:rPr>
          <w:rFonts w:eastAsia="Times New Roman" w:cs="Arial"/>
          <w:color w:val="262626" w:themeColor="text1" w:themeTint="D9"/>
          <w:szCs w:val="22"/>
          <w:lang w:eastAsia="it-IT"/>
        </w:rPr>
        <w:t xml:space="preserve">L’Organo di revisione, preso atto che al bilancio consolidato è allegata una relazione sulla gestione che comprende la nota integrativa, ha </w:t>
      </w:r>
      <w:r>
        <w:rPr>
          <w:rFonts w:eastAsiaTheme="minorHAnsi" w:cs="Calibri"/>
          <w:color w:val="262626" w:themeColor="text1" w:themeTint="D9"/>
          <w:szCs w:val="22"/>
        </w:rPr>
        <w:t>verificato:</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t>che la relazione sulla gestione</w:t>
      </w:r>
      <w:r>
        <w:rPr>
          <w:rFonts w:eastAsiaTheme="minorHAnsi" w:cs="Calibri"/>
          <w:iCs/>
          <w:color w:val="262626" w:themeColor="text1" w:themeTint="D9"/>
          <w:szCs w:val="22"/>
        </w:rPr>
        <w:t xml:space="preserve"> e nota integrativa presenta tutti i contenuti minimi indicati del par. 5 del Principio contabile 4/4 d.lgs. n. 118/2011;</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t>che sono indicati i riferimenti normativi ed il procedimento seguito nella redazione del Bilancio Consolidato;</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t>che</w:t>
      </w:r>
      <w:r>
        <w:rPr>
          <w:rFonts w:eastAsiaTheme="minorHAnsi" w:cs="Calibri"/>
          <w:b/>
          <w:bCs/>
          <w:i/>
          <w:color w:val="262626" w:themeColor="text1" w:themeTint="D9"/>
          <w:szCs w:val="22"/>
        </w:rPr>
        <w:t xml:space="preserve"> </w:t>
      </w:r>
      <w:r>
        <w:rPr>
          <w:rFonts w:eastAsiaTheme="minorHAnsi" w:cs="Calibri"/>
          <w:iCs/>
          <w:color w:val="262626" w:themeColor="text1" w:themeTint="D9"/>
          <w:szCs w:val="22"/>
        </w:rPr>
        <w:t>è indicata la compo</w:t>
      </w:r>
      <w:r>
        <w:rPr>
          <w:rFonts w:eastAsiaTheme="minorHAnsi" w:cs="Calibri"/>
          <w:iCs/>
          <w:color w:val="262626" w:themeColor="text1" w:themeTint="D9"/>
          <w:szCs w:val="22"/>
        </w:rPr>
        <w:t xml:space="preserve">sizione del </w:t>
      </w:r>
      <w:r>
        <w:rPr>
          <w:rFonts w:eastAsiaTheme="minorHAnsi" w:cs="Calibri"/>
          <w:bCs/>
          <w:iCs/>
          <w:color w:val="262626" w:themeColor="text1" w:themeTint="D9"/>
          <w:szCs w:val="22"/>
        </w:rPr>
        <w:t>Gruppo amministrazione pubblica del Comune di San Donato Milanese;</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t>che la procedura di consolidamento è stata operata sulla base di bilanci approvati;</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lastRenderedPageBreak/>
        <w:t>i criteri di valutazione applicati alle varie voci di bilancio;</w:t>
      </w:r>
    </w:p>
    <w:p w:rsidR="00594B59" w:rsidRDefault="00D11D2E">
      <w:pPr>
        <w:widowControl w:val="0"/>
        <w:numPr>
          <w:ilvl w:val="0"/>
          <w:numId w:val="6"/>
        </w:numPr>
        <w:spacing w:after="0" w:line="240" w:lineRule="auto"/>
        <w:ind w:left="426" w:hanging="284"/>
        <w:rPr>
          <w:rFonts w:eastAsiaTheme="minorHAnsi" w:cs="Calibri"/>
          <w:iCs/>
          <w:color w:val="262626" w:themeColor="text1" w:themeTint="D9"/>
          <w:szCs w:val="22"/>
        </w:rPr>
      </w:pPr>
      <w:r>
        <w:rPr>
          <w:rFonts w:eastAsiaTheme="minorHAnsi" w:cs="Calibri"/>
          <w:iCs/>
          <w:color w:val="262626" w:themeColor="text1" w:themeTint="D9"/>
          <w:szCs w:val="22"/>
        </w:rPr>
        <w:t>la composizione delle singole</w:t>
      </w:r>
      <w:r>
        <w:rPr>
          <w:rFonts w:eastAsiaTheme="minorHAnsi" w:cs="Calibri"/>
          <w:iCs/>
          <w:color w:val="262626" w:themeColor="text1" w:themeTint="D9"/>
          <w:szCs w:val="22"/>
        </w:rPr>
        <w:t xml:space="preserve"> voci di bilancio, individuando per le più rilevanti il contributo di ciascun soggetto compreso nell’area di consolidamento;</w:t>
      </w:r>
    </w:p>
    <w:p w:rsidR="00594B59" w:rsidRDefault="00594B59">
      <w:pPr>
        <w:widowControl w:val="0"/>
        <w:spacing w:after="0" w:line="240" w:lineRule="auto"/>
        <w:ind w:left="426"/>
        <w:rPr>
          <w:rFonts w:eastAsiaTheme="minorHAnsi" w:cs="Calibri"/>
          <w:iCs/>
          <w:color w:val="262626" w:themeColor="text1" w:themeTint="D9"/>
          <w:szCs w:val="22"/>
        </w:rPr>
      </w:pPr>
    </w:p>
    <w:p w:rsidR="00594B59" w:rsidRDefault="00D11D2E">
      <w:pPr>
        <w:pStyle w:val="Titolo1"/>
        <w:numPr>
          <w:ilvl w:val="0"/>
          <w:numId w:val="2"/>
        </w:numPr>
        <w:spacing w:before="0" w:after="0" w:line="240" w:lineRule="auto"/>
      </w:pPr>
      <w:bookmarkStart w:id="13" w:name="_Toc207873595"/>
      <w:r>
        <w:t>Osservazioni e considerazioni</w:t>
      </w:r>
      <w:bookmarkEnd w:id="13"/>
    </w:p>
    <w:p w:rsidR="00594B59" w:rsidRDefault="00D11D2E">
      <w:pPr>
        <w:spacing w:after="0" w:line="240" w:lineRule="auto"/>
        <w:rPr>
          <w:rFonts w:eastAsia="Times New Roman" w:cs="Arial"/>
          <w:color w:val="262626" w:themeColor="text1" w:themeTint="D9"/>
          <w:lang w:eastAsia="it-IT"/>
        </w:rPr>
      </w:pPr>
      <w:r>
        <w:rPr>
          <w:rFonts w:eastAsia="Times New Roman" w:cs="Arial"/>
          <w:color w:val="262626" w:themeColor="text1" w:themeTint="D9"/>
          <w:lang w:eastAsia="it-IT"/>
        </w:rPr>
        <w:t>L’Organo di Revisione rileva che:</w:t>
      </w:r>
    </w:p>
    <w:p w:rsidR="00594B59" w:rsidRDefault="00D11D2E">
      <w:pPr>
        <w:pStyle w:val="Paragrafoelenco"/>
        <w:numPr>
          <w:ilvl w:val="0"/>
          <w:numId w:val="9"/>
        </w:numPr>
        <w:spacing w:after="0" w:line="240" w:lineRule="auto"/>
        <w:ind w:left="426" w:hanging="284"/>
        <w:contextualSpacing w:val="0"/>
        <w:jc w:val="both"/>
        <w:rPr>
          <w:rFonts w:eastAsia="Times New Roman" w:cs="Arial"/>
          <w:color w:val="262626" w:themeColor="text1" w:themeTint="D9"/>
          <w:lang w:eastAsia="it-IT"/>
        </w:rPr>
      </w:pPr>
      <w:r>
        <w:rPr>
          <w:rFonts w:eastAsia="Times New Roman" w:cs="Arial"/>
          <w:color w:val="262626" w:themeColor="text1" w:themeTint="D9"/>
          <w:lang w:eastAsia="it-IT"/>
        </w:rPr>
        <w:t xml:space="preserve">il bilancio consolidato 2024 del Comune di San donato Milanese è </w:t>
      </w:r>
      <w:r>
        <w:rPr>
          <w:rFonts w:eastAsia="Times New Roman" w:cs="Arial"/>
          <w:color w:val="262626" w:themeColor="text1" w:themeTint="D9"/>
          <w:lang w:eastAsia="it-IT"/>
        </w:rPr>
        <w:t>stato redatto secondo gli schemi previsti dall’allegato n. 11 al d.lgs. n. 118/2011 e la Relazione sulla gestione consolidata comprensiva della Nota integrativa contiene le informazioni richieste dalla legge;</w:t>
      </w:r>
    </w:p>
    <w:p w:rsidR="00594B59" w:rsidRDefault="00D11D2E">
      <w:pPr>
        <w:pStyle w:val="Paragrafoelenco"/>
        <w:numPr>
          <w:ilvl w:val="0"/>
          <w:numId w:val="9"/>
        </w:numPr>
        <w:spacing w:after="0" w:line="240" w:lineRule="auto"/>
        <w:ind w:left="426" w:hanging="284"/>
        <w:contextualSpacing w:val="0"/>
        <w:jc w:val="both"/>
        <w:rPr>
          <w:rFonts w:eastAsia="Times New Roman" w:cs="Arial"/>
          <w:color w:val="262626" w:themeColor="text1" w:themeTint="D9"/>
          <w:lang w:eastAsia="it-IT"/>
        </w:rPr>
      </w:pPr>
      <w:r>
        <w:rPr>
          <w:rFonts w:eastAsia="Times New Roman" w:cs="Arial"/>
          <w:color w:val="262626" w:themeColor="text1" w:themeTint="D9"/>
          <w:lang w:eastAsia="it-IT"/>
        </w:rPr>
        <w:t xml:space="preserve">l’area di consolidamento risulta correttamente </w:t>
      </w:r>
      <w:r>
        <w:rPr>
          <w:rFonts w:eastAsia="Times New Roman" w:cs="Arial"/>
          <w:color w:val="262626" w:themeColor="text1" w:themeTint="D9"/>
          <w:lang w:eastAsia="it-IT"/>
        </w:rPr>
        <w:t>determinata;</w:t>
      </w:r>
    </w:p>
    <w:p w:rsidR="00594B59" w:rsidRDefault="00D11D2E">
      <w:pPr>
        <w:pStyle w:val="Paragrafoelenco"/>
        <w:numPr>
          <w:ilvl w:val="0"/>
          <w:numId w:val="9"/>
        </w:numPr>
        <w:spacing w:after="0" w:line="240" w:lineRule="auto"/>
        <w:ind w:left="426" w:hanging="284"/>
        <w:contextualSpacing w:val="0"/>
        <w:jc w:val="both"/>
        <w:rPr>
          <w:rFonts w:eastAsia="Times New Roman" w:cs="Arial"/>
          <w:color w:val="262626" w:themeColor="text1" w:themeTint="D9"/>
          <w:lang w:eastAsia="it-IT"/>
        </w:rPr>
      </w:pPr>
      <w:r>
        <w:rPr>
          <w:rFonts w:eastAsia="Times New Roman" w:cs="Arial"/>
          <w:color w:val="262626" w:themeColor="text1" w:themeTint="D9"/>
          <w:lang w:eastAsia="it-IT"/>
        </w:rPr>
        <w:t>la procedura di consolidamento risulta complessivamente conforme al principio contabile applicato di cui all’allegato 4/4 al d.lgs. n.118/2011, ai principi contabili generali civilistici ed a quelli emanati dall’Organismo Nazionale di Contabil</w:t>
      </w:r>
      <w:r>
        <w:rPr>
          <w:rFonts w:eastAsia="Times New Roman" w:cs="Arial"/>
          <w:color w:val="262626" w:themeColor="text1" w:themeTint="D9"/>
          <w:lang w:eastAsia="it-IT"/>
        </w:rPr>
        <w:t>ità (OIC);</w:t>
      </w:r>
    </w:p>
    <w:p w:rsidR="00594B59" w:rsidRDefault="00D11D2E">
      <w:pPr>
        <w:pStyle w:val="Paragrafoelenco"/>
        <w:numPr>
          <w:ilvl w:val="0"/>
          <w:numId w:val="9"/>
        </w:numPr>
        <w:spacing w:after="0" w:line="240" w:lineRule="auto"/>
        <w:ind w:left="426" w:hanging="284"/>
        <w:contextualSpacing w:val="0"/>
        <w:jc w:val="both"/>
        <w:rPr>
          <w:rFonts w:eastAsia="Times New Roman" w:cs="Arial"/>
          <w:color w:val="262626" w:themeColor="text1" w:themeTint="D9"/>
          <w:lang w:eastAsia="it-IT"/>
        </w:rPr>
      </w:pPr>
      <w:r>
        <w:rPr>
          <w:rFonts w:eastAsia="Times New Roman" w:cs="Arial"/>
          <w:color w:val="262626" w:themeColor="text1" w:themeTint="D9"/>
          <w:lang w:eastAsia="it-IT"/>
        </w:rPr>
        <w:t>il bilancio consolidato 2024 del Comune di San Donato Milanese, rappresenta in modo veritiero e corretto la reale consistenza economica, patrimoniale e finanziaria del perimetro di consolidamento;</w:t>
      </w:r>
    </w:p>
    <w:p w:rsidR="00594B59" w:rsidRDefault="00D11D2E">
      <w:pPr>
        <w:pStyle w:val="Paragrafoelenco"/>
        <w:numPr>
          <w:ilvl w:val="0"/>
          <w:numId w:val="9"/>
        </w:numPr>
        <w:spacing w:after="0" w:line="240" w:lineRule="auto"/>
        <w:ind w:left="426" w:hanging="284"/>
        <w:contextualSpacing w:val="0"/>
        <w:jc w:val="both"/>
        <w:rPr>
          <w:rFonts w:eastAsia="Times New Roman" w:cs="Arial"/>
          <w:color w:val="262626" w:themeColor="text1" w:themeTint="D9"/>
          <w:lang w:eastAsia="it-IT"/>
        </w:rPr>
      </w:pPr>
      <w:r>
        <w:rPr>
          <w:rFonts w:eastAsia="Times New Roman" w:cs="Arial"/>
          <w:color w:val="262626" w:themeColor="text1" w:themeTint="D9"/>
          <w:lang w:eastAsia="it-IT"/>
        </w:rPr>
        <w:t>la relazione sulla gestione consolidata contiene</w:t>
      </w:r>
      <w:r>
        <w:rPr>
          <w:rFonts w:eastAsia="Times New Roman" w:cs="Arial"/>
          <w:color w:val="262626" w:themeColor="text1" w:themeTint="D9"/>
          <w:lang w:eastAsia="it-IT"/>
        </w:rPr>
        <w:t xml:space="preserve"> la nota integrativa e risulta essere congruente con le risultanze del Bilancio Consolidato.</w:t>
      </w:r>
    </w:p>
    <w:p w:rsidR="00594B59" w:rsidRDefault="00594B59">
      <w:pPr>
        <w:pStyle w:val="Paragrafoelenco"/>
        <w:spacing w:after="0" w:line="240" w:lineRule="auto"/>
        <w:ind w:left="426"/>
        <w:contextualSpacing w:val="0"/>
        <w:jc w:val="both"/>
        <w:rPr>
          <w:rFonts w:eastAsia="Times New Roman" w:cs="Arial"/>
          <w:color w:val="262626" w:themeColor="text1" w:themeTint="D9"/>
          <w:lang w:eastAsia="it-IT"/>
        </w:rPr>
      </w:pPr>
    </w:p>
    <w:p w:rsidR="00594B59" w:rsidRDefault="00D11D2E">
      <w:pPr>
        <w:pStyle w:val="Titolo1"/>
        <w:numPr>
          <w:ilvl w:val="0"/>
          <w:numId w:val="2"/>
        </w:numPr>
        <w:spacing w:before="0" w:after="0" w:line="240" w:lineRule="auto"/>
      </w:pPr>
      <w:bookmarkStart w:id="14" w:name="_Toc207873596"/>
      <w:r>
        <w:t>Conclusioni</w:t>
      </w:r>
      <w:bookmarkEnd w:id="14"/>
    </w:p>
    <w:p w:rsidR="00594B59" w:rsidRDefault="00D11D2E">
      <w:pPr>
        <w:spacing w:after="0" w:line="240" w:lineRule="auto"/>
        <w:rPr>
          <w:rFonts w:eastAsia="Times New Roman" w:cs="Arial"/>
          <w:color w:val="262626" w:themeColor="text1" w:themeTint="D9"/>
          <w:lang w:eastAsia="it-IT"/>
        </w:rPr>
      </w:pPr>
      <w:r>
        <w:rPr>
          <w:rFonts w:eastAsia="Times New Roman" w:cs="Arial"/>
          <w:color w:val="262626" w:themeColor="text1" w:themeTint="D9"/>
          <w:lang w:eastAsia="it-IT"/>
        </w:rPr>
        <w:t>L’Organo di Revisione, per quanto sopra esposto e illustrato, ai sensi dell’art. 239 comma, 1 lett. d) -</w:t>
      </w:r>
      <w:r>
        <w:rPr>
          <w:rFonts w:eastAsia="Times New Roman" w:cs="Arial"/>
          <w:i/>
          <w:iCs/>
          <w:color w:val="262626" w:themeColor="text1" w:themeTint="D9"/>
          <w:lang w:eastAsia="it-IT"/>
        </w:rPr>
        <w:t>bis</w:t>
      </w:r>
      <w:r>
        <w:rPr>
          <w:rFonts w:eastAsia="Times New Roman" w:cs="Arial"/>
          <w:color w:val="262626" w:themeColor="text1" w:themeTint="D9"/>
          <w:lang w:eastAsia="it-IT"/>
        </w:rPr>
        <w:t xml:space="preserve">) del d.lgs. n. 267/2000, </w:t>
      </w:r>
    </w:p>
    <w:p w:rsidR="00594B59" w:rsidRDefault="00D11D2E">
      <w:pPr>
        <w:spacing w:before="240" w:after="120" w:line="300" w:lineRule="auto"/>
        <w:jc w:val="center"/>
        <w:rPr>
          <w:rFonts w:eastAsia="Times New Roman" w:cs="Arial"/>
          <w:b/>
          <w:color w:val="262626" w:themeColor="text1" w:themeTint="D9"/>
          <w:lang w:eastAsia="it-IT"/>
        </w:rPr>
      </w:pPr>
      <w:r>
        <w:rPr>
          <w:rFonts w:eastAsia="Times New Roman" w:cs="Arial"/>
          <w:b/>
          <w:color w:val="262626" w:themeColor="text1" w:themeTint="D9"/>
          <w:lang w:eastAsia="it-IT"/>
        </w:rPr>
        <w:t>esprime:</w:t>
      </w:r>
    </w:p>
    <w:p w:rsidR="00594B59" w:rsidRDefault="00D11D2E">
      <w:pPr>
        <w:spacing w:after="0" w:line="240" w:lineRule="auto"/>
      </w:pPr>
      <w:r>
        <w:rPr>
          <w:rFonts w:eastAsia="Times New Roman" w:cs="Arial"/>
          <w:color w:val="262626" w:themeColor="text1" w:themeTint="D9"/>
          <w:lang w:eastAsia="it-IT"/>
        </w:rPr>
        <w:t>giudizi</w:t>
      </w:r>
      <w:r>
        <w:rPr>
          <w:rFonts w:eastAsia="Times New Roman" w:cs="Arial"/>
          <w:color w:val="262626" w:themeColor="text1" w:themeTint="D9"/>
          <w:lang w:eastAsia="it-IT"/>
        </w:rPr>
        <w:t xml:space="preserve">o positivo sulla proposta di deliberazione </w:t>
      </w:r>
      <w:r>
        <w:rPr>
          <w:rFonts w:eastAsia="Times New Roman" w:cs="Arial"/>
          <w:color w:val="262626" w:themeColor="text1" w:themeTint="D9"/>
        </w:rPr>
        <w:t xml:space="preserve">consiliare </w:t>
      </w:r>
      <w:r>
        <w:rPr>
          <w:rFonts w:eastAsia="Times New Roman" w:cs="Arial"/>
          <w:color w:val="262626" w:themeColor="text1" w:themeTint="D9"/>
          <w:lang w:eastAsia="it-IT"/>
        </w:rPr>
        <w:t xml:space="preserve">concernente il bilancio consolidato 2024 del perimetro di consolidamento del Comune di San Donato Milanese ed invita lo stesso Ente a rispettare il termine della trasmissione alla BDAP </w:t>
      </w:r>
      <w:r>
        <w:t xml:space="preserve">evidenziando che </w:t>
      </w:r>
      <w:r>
        <w:t>i contenuti in formato XBRL del documento devono corrispondere con quelli approvati in sede di deliberazione consiliare.</w:t>
      </w:r>
    </w:p>
    <w:p w:rsidR="00594B59" w:rsidRDefault="00594B59">
      <w:pPr>
        <w:spacing w:before="120" w:after="120" w:line="300" w:lineRule="auto"/>
        <w:rPr>
          <w:rFonts w:eastAsia="Times New Roman" w:cs="Arial"/>
          <w:color w:val="262626" w:themeColor="text1" w:themeTint="D9"/>
          <w:lang w:eastAsia="it-IT"/>
        </w:rPr>
      </w:pPr>
    </w:p>
    <w:p w:rsidR="00594B59" w:rsidRDefault="00D11D2E">
      <w:pPr>
        <w:spacing w:after="240" w:line="240" w:lineRule="auto"/>
        <w:rPr>
          <w:rFonts w:eastAsia="Times New Roman" w:cs="Arial"/>
          <w:color w:val="262626" w:themeColor="text1" w:themeTint="D9"/>
          <w:lang w:eastAsia="it-IT"/>
        </w:rPr>
      </w:pPr>
      <w:r>
        <w:rPr>
          <w:rFonts w:eastAsia="Times New Roman" w:cs="Arial"/>
          <w:color w:val="262626" w:themeColor="text1" w:themeTint="D9"/>
          <w:lang w:eastAsia="it-IT"/>
        </w:rPr>
        <w:t xml:space="preserve">Dalle proprie sedi, lì </w:t>
      </w:r>
      <w:r w:rsidR="00ED1A48">
        <w:rPr>
          <w:rFonts w:eastAsia="Times New Roman" w:cs="Arial"/>
          <w:color w:val="262626" w:themeColor="text1" w:themeTint="D9"/>
          <w:lang w:eastAsia="it-IT"/>
        </w:rPr>
        <w:t>11 settembre 2025</w:t>
      </w:r>
    </w:p>
    <w:p w:rsidR="00594B59" w:rsidRDefault="00594B59">
      <w:pPr>
        <w:spacing w:after="240" w:line="240" w:lineRule="auto"/>
        <w:rPr>
          <w:rFonts w:eastAsia="Times New Roman" w:cs="Arial"/>
          <w:color w:val="262626" w:themeColor="text1" w:themeTint="D9"/>
          <w:lang w:eastAsia="it-IT"/>
        </w:rPr>
      </w:pPr>
    </w:p>
    <w:p w:rsidR="00594B59" w:rsidRDefault="00D11D2E">
      <w:pPr>
        <w:spacing w:after="240" w:line="240" w:lineRule="auto"/>
        <w:rPr>
          <w:rFonts w:eastAsia="Times New Roman" w:cs="Arial"/>
          <w:color w:val="262626" w:themeColor="text1" w:themeTint="D9"/>
          <w:lang w:eastAsia="it-IT"/>
        </w:rPr>
      </w:pPr>
      <w:r>
        <w:rPr>
          <w:rFonts w:eastAsia="Times New Roman" w:cs="Arial"/>
          <w:color w:val="262626" w:themeColor="text1" w:themeTint="D9"/>
          <w:lang w:eastAsia="it-IT"/>
        </w:rPr>
        <w:t>L’Organo di Revisione</w:t>
      </w:r>
    </w:p>
    <w:p w:rsidR="00594B59" w:rsidRDefault="00D11D2E">
      <w:pPr>
        <w:spacing w:line="360" w:lineRule="auto"/>
        <w:rPr>
          <w:rFonts w:eastAsia="Times New Roman" w:cs="Arial"/>
          <w:color w:val="262626" w:themeColor="text1" w:themeTint="D9"/>
          <w:lang w:eastAsia="it-IT"/>
        </w:rPr>
      </w:pPr>
      <w:r>
        <w:rPr>
          <w:rFonts w:eastAsia="Times New Roman" w:cs="Arial"/>
          <w:color w:val="262626" w:themeColor="text1" w:themeTint="D9"/>
          <w:lang w:eastAsia="it-IT"/>
        </w:rPr>
        <w:t xml:space="preserve">Maurizio Quaranta - presidente    </w:t>
      </w:r>
      <w:r>
        <w:rPr>
          <w:rFonts w:eastAsia="Times New Roman" w:cs="Arial"/>
          <w:color w:val="262626" w:themeColor="text1" w:themeTint="D9"/>
          <w:lang w:eastAsia="it-IT"/>
        </w:rPr>
        <w:tab/>
      </w:r>
      <w:r>
        <w:rPr>
          <w:rFonts w:eastAsia="Times New Roman" w:cs="Arial"/>
          <w:color w:val="262626" w:themeColor="text1" w:themeTint="D9"/>
          <w:lang w:eastAsia="it-IT"/>
        </w:rPr>
        <w:tab/>
        <w:t>____________________</w:t>
      </w:r>
    </w:p>
    <w:p w:rsidR="00594B59" w:rsidRDefault="00D11D2E">
      <w:pPr>
        <w:spacing w:line="360" w:lineRule="auto"/>
        <w:rPr>
          <w:rFonts w:eastAsia="Times New Roman" w:cs="Arial"/>
          <w:color w:val="262626" w:themeColor="text1" w:themeTint="D9"/>
          <w:lang w:eastAsia="it-IT"/>
        </w:rPr>
      </w:pPr>
      <w:r>
        <w:rPr>
          <w:rFonts w:eastAsia="Times New Roman" w:cs="Arial"/>
          <w:color w:val="262626" w:themeColor="text1" w:themeTint="D9"/>
          <w:lang w:eastAsia="it-IT"/>
        </w:rPr>
        <w:t xml:space="preserve">Massimo </w:t>
      </w:r>
      <w:proofErr w:type="spellStart"/>
      <w:r>
        <w:rPr>
          <w:rFonts w:eastAsia="Times New Roman" w:cs="Arial"/>
          <w:color w:val="262626" w:themeColor="text1" w:themeTint="D9"/>
          <w:lang w:eastAsia="it-IT"/>
        </w:rPr>
        <w:t>Ostoni</w:t>
      </w:r>
      <w:proofErr w:type="spellEnd"/>
      <w:r>
        <w:rPr>
          <w:rFonts w:eastAsia="Times New Roman" w:cs="Arial"/>
          <w:color w:val="262626" w:themeColor="text1" w:themeTint="D9"/>
          <w:lang w:eastAsia="it-IT"/>
        </w:rPr>
        <w:t xml:space="preserve"> </w:t>
      </w:r>
      <w:r>
        <w:rPr>
          <w:rFonts w:eastAsia="Times New Roman" w:cs="Arial"/>
          <w:color w:val="262626" w:themeColor="text1" w:themeTint="D9"/>
          <w:lang w:eastAsia="it-IT"/>
        </w:rPr>
        <w:t xml:space="preserve">- componente        </w:t>
      </w:r>
      <w:r>
        <w:rPr>
          <w:rFonts w:eastAsia="Times New Roman" w:cs="Arial"/>
          <w:color w:val="262626" w:themeColor="text1" w:themeTint="D9"/>
          <w:lang w:eastAsia="it-IT"/>
        </w:rPr>
        <w:tab/>
        <w:t xml:space="preserve">              </w:t>
      </w:r>
      <w:r>
        <w:rPr>
          <w:rFonts w:eastAsia="Times New Roman" w:cs="Arial"/>
          <w:color w:val="262626" w:themeColor="text1" w:themeTint="D9"/>
          <w:lang w:eastAsia="it-IT"/>
        </w:rPr>
        <w:t>____________________</w:t>
      </w:r>
    </w:p>
    <w:p w:rsidR="00594B59" w:rsidRDefault="00D11D2E">
      <w:pPr>
        <w:spacing w:line="360" w:lineRule="auto"/>
        <w:rPr>
          <w:rFonts w:eastAsia="Times New Roman" w:cs="Arial"/>
          <w:color w:val="262626" w:themeColor="text1" w:themeTint="D9"/>
          <w:lang w:eastAsia="it-IT"/>
        </w:rPr>
        <w:sectPr w:rsidR="00594B59">
          <w:headerReference w:type="even" r:id="rId17"/>
          <w:headerReference w:type="default" r:id="rId18"/>
          <w:footerReference w:type="default" r:id="rId19"/>
          <w:headerReference w:type="first" r:id="rId20"/>
          <w:footerReference w:type="first" r:id="rId21"/>
          <w:pgSz w:w="11906" w:h="16838"/>
          <w:pgMar w:top="1985" w:right="1418" w:bottom="1418" w:left="1418" w:header="709" w:footer="485" w:gutter="0"/>
          <w:pgNumType w:start="1"/>
          <w:cols w:space="720"/>
          <w:formProt w:val="0"/>
          <w:docGrid w:linePitch="360"/>
        </w:sectPr>
      </w:pPr>
      <w:r>
        <w:rPr>
          <w:rFonts w:eastAsia="Times New Roman" w:cs="Arial"/>
          <w:color w:val="262626" w:themeColor="text1" w:themeTint="D9"/>
          <w:lang w:eastAsia="it-IT"/>
        </w:rPr>
        <w:t>Gabriele Colombo - componente</w:t>
      </w:r>
      <w:r>
        <w:rPr>
          <w:rFonts w:eastAsia="Times New Roman" w:cs="Arial"/>
          <w:color w:val="262626" w:themeColor="text1" w:themeTint="D9"/>
          <w:lang w:eastAsia="it-IT"/>
        </w:rPr>
        <w:tab/>
        <w:t xml:space="preserve">               </w:t>
      </w:r>
      <w:bookmarkStart w:id="15" w:name="_GoBack"/>
      <w:bookmarkEnd w:id="15"/>
      <w:r>
        <w:rPr>
          <w:rFonts w:eastAsia="Times New Roman" w:cs="Arial"/>
          <w:color w:val="262626" w:themeColor="text1" w:themeTint="D9"/>
          <w:lang w:eastAsia="it-IT"/>
        </w:rPr>
        <w:t>_____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Pr>
          <w:rFonts w:eastAsia="Times New Roman" w:cs="Arial"/>
          <w:color w:val="262626" w:themeColor="text1" w:themeTint="D9"/>
          <w:lang w:eastAsia="it-IT"/>
        </w:rPr>
        <w:t>_</w:t>
      </w:r>
      <w:r w:rsidR="00ED1A48">
        <w:rPr>
          <w:rFonts w:eastAsia="Times New Roman" w:cs="Arial"/>
          <w:color w:val="262626" w:themeColor="text1" w:themeTint="D9"/>
          <w:lang w:eastAsia="it-IT"/>
        </w:rPr>
        <w:t xml:space="preserve">  </w:t>
      </w:r>
    </w:p>
    <w:p w:rsidR="00594B59" w:rsidRDefault="00594B59">
      <w:pPr>
        <w:rPr>
          <w:rFonts w:eastAsia="Times New Roman" w:cs="Calibri"/>
        </w:rPr>
      </w:pPr>
    </w:p>
    <w:sectPr w:rsidR="00594B59">
      <w:headerReference w:type="even" r:id="rId22"/>
      <w:headerReference w:type="default" r:id="rId23"/>
      <w:footerReference w:type="even" r:id="rId24"/>
      <w:footerReference w:type="default" r:id="rId25"/>
      <w:headerReference w:type="first" r:id="rId26"/>
      <w:footerReference w:type="first" r:id="rId27"/>
      <w:pgSz w:w="11906" w:h="16838"/>
      <w:pgMar w:top="1985" w:right="1418" w:bottom="1418" w:left="1418" w:header="709" w:footer="485"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11D2E">
      <w:pPr>
        <w:spacing w:after="0" w:line="240" w:lineRule="auto"/>
      </w:pPr>
      <w:r>
        <w:separator/>
      </w:r>
    </w:p>
  </w:endnote>
  <w:endnote w:type="continuationSeparator" w:id="0">
    <w:p w:rsidR="00000000" w:rsidRDefault="00D11D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ova">
    <w:panose1 w:val="020B0504020202020204"/>
    <w:charset w:val="00"/>
    <w:family w:val="swiss"/>
    <w:pitch w:val="variable"/>
    <w:sig w:usb0="2000028F" w:usb1="00000002"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Titoli CS)">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Corpo)">
    <w:panose1 w:val="00000000000000000000"/>
    <w:charset w:val="00"/>
    <w:family w:val="roman"/>
    <w:notTrueType/>
    <w:pitch w:val="default"/>
  </w:font>
  <w:font w:name="Times New Roman (Corpo CS)">
    <w:altName w:val="Times New Roman"/>
    <w:panose1 w:val="00000000000000000000"/>
    <w:charset w:val="00"/>
    <w:family w:val="roman"/>
    <w:notTrueType/>
    <w:pitch w:val="default"/>
  </w:font>
  <w:font w:name="Liberation Serif">
    <w:altName w:val="Times New Roman"/>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D11D2E">
    <w:pPr>
      <w:pStyle w:val="Pidipagina"/>
    </w:pPr>
    <w:r>
      <w:rPr>
        <w:noProof/>
      </w:rPr>
      <mc:AlternateContent>
        <mc:Choice Requires="wps">
          <w:drawing>
            <wp:anchor distT="0" distB="0" distL="0" distR="0" simplePos="0" relativeHeight="251656704" behindDoc="0" locked="0" layoutInCell="0" allowOverlap="1">
              <wp:simplePos x="0" y="0"/>
              <wp:positionH relativeFrom="page">
                <wp:posOffset>908685</wp:posOffset>
              </wp:positionH>
              <wp:positionV relativeFrom="paragraph">
                <wp:posOffset>-50165</wp:posOffset>
              </wp:positionV>
              <wp:extent cx="64135" cy="154940"/>
              <wp:effectExtent l="0" t="0" r="0" b="0"/>
              <wp:wrapNone/>
              <wp:docPr id="9" name="Cornice6"/>
              <wp:cNvGraphicFramePr/>
              <a:graphic xmlns:a="http://schemas.openxmlformats.org/drawingml/2006/main">
                <a:graphicData uri="http://schemas.microsoft.com/office/word/2010/wordprocessingShape">
                  <wps:wsp>
                    <wps:cNvSpPr txBox="1"/>
                    <wps:spPr>
                      <a:xfrm>
                        <a:off x="0" y="0"/>
                        <a:ext cx="64135" cy="154940"/>
                      </a:xfrm>
                      <a:prstGeom prst="rect">
                        <a:avLst/>
                      </a:prstGeom>
                      <a:solidFill>
                        <a:srgbClr val="FFFFFF">
                          <a:alpha val="0"/>
                        </a:srgbClr>
                      </a:solidFill>
                    </wps:spPr>
                    <wps:txbx>
                      <w:txbxContent>
                        <w:sdt>
                          <w:sdtPr>
                            <w:id w:val="540864665"/>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II</w:t>
                              </w:r>
                              <w:r>
                                <w:rPr>
                                  <w:rStyle w:val="Numeropagina"/>
                                  <w:rFonts w:cs="Calibri"/>
                                  <w:sz w:val="20"/>
                                  <w:szCs w:val="18"/>
                                </w:rPr>
                                <w:fldChar w:fldCharType="end"/>
                              </w:r>
                            </w:p>
                          </w:sdtContent>
                        </w:sdt>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Cornice6" o:spid="_x0000_s1031" type="#_x0000_t202" style="position:absolute;left:0;text-align:left;margin-left:71.55pt;margin-top:-3.95pt;width:5.05pt;height:12.2pt;z-index:2516567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" o:allowincell="f" stroked="f">
              <v:fill opacity="0"/>
              <v:textbox style="mso-fit-shape-to-text:t" inset="0,0,0,0">
                <w:txbxContent>
                  <w:sdt>
                    <w:sdtPr>
                      <w:id w:val="540864665"/>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II</w:t>
                        </w:r>
                        <w:r>
                          <w:rPr>
                            <w:rStyle w:val="Numeropagina"/>
                            <w:rFonts w:cs="Calibri"/>
                            <w:sz w:val="20"/>
                            <w:szCs w:val="18"/>
                          </w:rPr>
                          <w:fldChar w:fldCharType="end"/>
                        </w:r>
                      </w:p>
                    </w:sdtContent>
                  </w:sdt>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D11D2E">
    <w:pPr>
      <w:pStyle w:val="Pidipagina"/>
    </w:pPr>
    <w:r>
      <w:rPr>
        <w:noProof/>
      </w:rPr>
      <mc:AlternateContent>
        <mc:Choice Requires="wps">
          <w:drawing>
            <wp:anchor distT="0" distB="0" distL="0" distR="0" simplePos="0" relativeHeight="251657728" behindDoc="0" locked="0" layoutInCell="0" allowOverlap="1">
              <wp:simplePos x="0" y="0"/>
              <wp:positionH relativeFrom="page">
                <wp:posOffset>908685</wp:posOffset>
              </wp:positionH>
              <wp:positionV relativeFrom="paragraph">
                <wp:posOffset>-50165</wp:posOffset>
              </wp:positionV>
              <wp:extent cx="64135" cy="154940"/>
              <wp:effectExtent l="0" t="0" r="0" b="0"/>
              <wp:wrapNone/>
              <wp:docPr id="10" name="Cornice6"/>
              <wp:cNvGraphicFramePr/>
              <a:graphic xmlns:a="http://schemas.openxmlformats.org/drawingml/2006/main">
                <a:graphicData uri="http://schemas.microsoft.com/office/word/2010/wordprocessingShape">
                  <wps:wsp>
                    <wps:cNvSpPr txBox="1"/>
                    <wps:spPr>
                      <a:xfrm>
                        <a:off x="0" y="0"/>
                        <a:ext cx="64135" cy="154940"/>
                      </a:xfrm>
                      <a:prstGeom prst="rect">
                        <a:avLst/>
                      </a:prstGeom>
                      <a:solidFill>
                        <a:srgbClr val="FFFFFF">
                          <a:alpha val="0"/>
                        </a:srgbClr>
                      </a:solidFill>
                    </wps:spPr>
                    <wps:txbx>
                      <w:txbxContent>
                        <w:sdt>
                          <w:sdtPr>
                            <w:id w:val="1421375836"/>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II</w:t>
                              </w:r>
                              <w:r>
                                <w:rPr>
                                  <w:rStyle w:val="Numeropagina"/>
                                  <w:rFonts w:cs="Calibri"/>
                                  <w:sz w:val="20"/>
                                  <w:szCs w:val="18"/>
                                </w:rPr>
                                <w:fldChar w:fldCharType="end"/>
                              </w:r>
                            </w:p>
                          </w:sdtContent>
                        </w:sdt>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_x0000_s1032" type="#_x0000_t202" style="position:absolute;left:0;text-align:left;margin-left:71.55pt;margin-top:-3.95pt;width:5.05pt;height:12.2pt;z-index:2516577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" o:allowincell="f" stroked="f">
              <v:fill opacity="0"/>
              <v:textbox style="mso-fit-shape-to-text:t" inset="0,0,0,0">
                <w:txbxContent>
                  <w:sdt>
                    <w:sdtPr>
                      <w:id w:val="1421375836"/>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II</w:t>
                        </w:r>
                        <w:r>
                          <w:rPr>
                            <w:rStyle w:val="Numeropagina"/>
                            <w:rFonts w:cs="Calibri"/>
                            <w:sz w:val="20"/>
                            <w:szCs w:val="18"/>
                          </w:rPr>
                          <w:fldChar w:fldCharType="end"/>
                        </w:r>
                      </w:p>
                    </w:sdtContent>
                  </w:sdt>
                </w:txbxContent>
              </v:textbox>
              <w10:wrap anchorx="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D11D2E">
    <w:pPr>
      <w:pStyle w:val="Pidipagina"/>
    </w:pPr>
    <w:r>
      <w:rPr>
        <w:noProof/>
      </w:rPr>
      <mc:AlternateContent>
        <mc:Choice Requires="wps">
          <w:drawing>
            <wp:anchor distT="0" distB="0" distL="0" distR="0" simplePos="0" relativeHeight="251658752" behindDoc="0" locked="0" layoutInCell="0" allowOverlap="1">
              <wp:simplePos x="0" y="0"/>
              <wp:positionH relativeFrom="page">
                <wp:posOffset>908685</wp:posOffset>
              </wp:positionH>
              <wp:positionV relativeFrom="paragraph">
                <wp:posOffset>-50165</wp:posOffset>
              </wp:positionV>
              <wp:extent cx="128905" cy="154940"/>
              <wp:effectExtent l="0" t="0" r="0" b="0"/>
              <wp:wrapNone/>
              <wp:docPr id="11" name="Cornice7"/>
              <wp:cNvGraphicFramePr/>
              <a:graphic xmlns:a="http://schemas.openxmlformats.org/drawingml/2006/main">
                <a:graphicData uri="http://schemas.microsoft.com/office/word/2010/wordprocessingShape">
                  <wps:wsp>
                    <wps:cNvSpPr txBox="1"/>
                    <wps:spPr>
                      <a:xfrm>
                        <a:off x="0" y="0"/>
                        <a:ext cx="128905" cy="154940"/>
                      </a:xfrm>
                      <a:prstGeom prst="rect">
                        <a:avLst/>
                      </a:prstGeom>
                      <a:solidFill>
                        <a:srgbClr val="FFFFFF">
                          <a:alpha val="0"/>
                        </a:srgbClr>
                      </a:solidFill>
                    </wps:spPr>
                    <wps:txbx>
                      <w:txbxContent>
                        <w:sdt>
                          <w:sdtPr>
                            <w:id w:val="441424382"/>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12</w:t>
                              </w:r>
                              <w:r>
                                <w:rPr>
                                  <w:rStyle w:val="Numeropagina"/>
                                  <w:rFonts w:cs="Calibri"/>
                                  <w:sz w:val="20"/>
                                  <w:szCs w:val="18"/>
                                </w:rPr>
                                <w:fldChar w:fldCharType="end"/>
                              </w:r>
                            </w:p>
                          </w:sdtContent>
                        </w:sdt>
                      </w:txbxContent>
                    </wps:txbx>
                    <wps:bodyPr lIns="0" tIns="0" rIns="0" bIns="0" anchor="t">
                      <a:spAutoFit/>
                    </wps:bodyPr>
                  </wps:wsp>
                </a:graphicData>
              </a:graphic>
            </wp:anchor>
          </w:drawing>
        </mc:Choice>
        <mc:Fallback>
          <w:pict>
            <v:shapetype id="_x0000_t202" coordsize="21600,21600" o:spt="202" path="m,l,21600r21600,l21600,xe">
              <v:stroke joinstyle="miter"/>
              <v:path gradientshapeok="t" o:connecttype="rect"/>
            </v:shapetype>
            <v:shape id="Cornice7" o:spid="_x0000_s1033" type="#_x0000_t202" style="position:absolute;left:0;text-align:left;margin-left:71.55pt;margin-top:-3.95pt;width:10.15pt;height:12.2pt;z-index:2516587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" o:allowincell="f" stroked="f">
              <v:fill opacity="0"/>
              <v:textbox style="mso-fit-shape-to-text:t" inset="0,0,0,0">
                <w:txbxContent>
                  <w:sdt>
                    <w:sdtPr>
                      <w:id w:val="441424382"/>
                      <w:docPartObj>
                        <w:docPartGallery w:val="Page Numbers (Bottom of Page)"/>
                        <w:docPartUnique/>
                      </w:docPartObj>
                    </w:sdtPr>
                    <w:sdtEndPr/>
                    <w:sdtContent>
                      <w:p w:rsidR="00594B59" w:rsidRDefault="00D11D2E">
                        <w:pPr>
                          <w:pStyle w:val="Pidipagina"/>
                          <w:rPr>
                            <w:rStyle w:val="Numeropagina"/>
                            <w:rFonts w:cs="Calibri"/>
                            <w:color w:val="262626"/>
                          </w:rPr>
                        </w:pPr>
                        <w:r>
                          <w:rPr>
                            <w:rStyle w:val="Numeropagina"/>
                            <w:rFonts w:cs="Calibri"/>
                            <w:sz w:val="20"/>
                            <w:szCs w:val="18"/>
                          </w:rPr>
                          <w:fldChar w:fldCharType="begin"/>
                        </w:r>
                        <w:r>
                          <w:rPr>
                            <w:rStyle w:val="Numeropagina"/>
                            <w:rFonts w:cs="Calibri"/>
                            <w:sz w:val="20"/>
                            <w:szCs w:val="18"/>
                          </w:rPr>
                          <w:instrText xml:space="preserve"> PAGE </w:instrText>
                        </w:r>
                        <w:r>
                          <w:rPr>
                            <w:rStyle w:val="Numeropagina"/>
                            <w:rFonts w:cs="Calibri"/>
                            <w:sz w:val="20"/>
                            <w:szCs w:val="18"/>
                          </w:rPr>
                          <w:fldChar w:fldCharType="separate"/>
                        </w:r>
                        <w:r>
                          <w:rPr>
                            <w:rStyle w:val="Numeropagina"/>
                            <w:rFonts w:cs="Calibri"/>
                            <w:sz w:val="20"/>
                            <w:szCs w:val="18"/>
                          </w:rPr>
                          <w:t>12</w:t>
                        </w:r>
                        <w:r>
                          <w:rPr>
                            <w:rStyle w:val="Numeropagina"/>
                            <w:rFonts w:cs="Calibri"/>
                            <w:sz w:val="20"/>
                            <w:szCs w:val="18"/>
                          </w:rPr>
                          <w:fldChar w:fldCharType="end"/>
                        </w:r>
                      </w:p>
                    </w:sdtContent>
                  </w:sdt>
                </w:txbxContent>
              </v:textbox>
              <w10:wrap anchorx="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Pidipagina"/>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Pidipagina"/>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11D2E">
      <w:pPr>
        <w:spacing w:after="0" w:line="240" w:lineRule="auto"/>
      </w:pPr>
      <w:r>
        <w:separator/>
      </w:r>
    </w:p>
  </w:footnote>
  <w:footnote w:type="continuationSeparator" w:id="0">
    <w:p w:rsidR="00000000" w:rsidRDefault="00D11D2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94B59" w:rsidRDefault="00594B59">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741612"/>
    <w:multiLevelType w:val="multilevel"/>
    <w:tmpl w:val="EF10C64A"/>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E1D2675"/>
    <w:multiLevelType w:val="multilevel"/>
    <w:tmpl w:val="0410001F"/>
    <w:lvl w:ilvl="0">
      <w:start w:val="1"/>
      <w:numFmt w:val="decimal"/>
      <w:pStyle w:val="Titolo1"/>
      <w:lvlText w:val="%1."/>
      <w:lvlJc w:val="left"/>
      <w:pPr>
        <w:tabs>
          <w:tab w:val="num" w:pos="0"/>
        </w:tabs>
        <w:ind w:left="360" w:hanging="360"/>
      </w:pPr>
    </w:lvl>
    <w:lvl w:ilvl="1">
      <w:start w:val="1"/>
      <w:numFmt w:val="decimal"/>
      <w:pStyle w:val="Titolo2"/>
      <w:lvlText w:val="%1.%2."/>
      <w:lvlJc w:val="left"/>
      <w:pPr>
        <w:tabs>
          <w:tab w:val="num" w:pos="0"/>
        </w:tabs>
        <w:ind w:left="792" w:hanging="432"/>
      </w:pPr>
    </w:lvl>
    <w:lvl w:ilvl="2">
      <w:start w:val="1"/>
      <w:numFmt w:val="decimal"/>
      <w:pStyle w:val="Titolo3"/>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15:restartNumberingAfterBreak="0">
    <w:nsid w:val="0EAE63F3"/>
    <w:multiLevelType w:val="multilevel"/>
    <w:tmpl w:val="54164BA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15:restartNumberingAfterBreak="0">
    <w:nsid w:val="1D4E6530"/>
    <w:multiLevelType w:val="multilevel"/>
    <w:tmpl w:val="0410001F"/>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22195475"/>
    <w:multiLevelType w:val="multilevel"/>
    <w:tmpl w:val="A618769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5" w15:restartNumberingAfterBreak="0">
    <w:nsid w:val="2AD55CC8"/>
    <w:multiLevelType w:val="multilevel"/>
    <w:tmpl w:val="73DE761C"/>
    <w:lvl w:ilvl="0">
      <w:start w:val="1"/>
      <w:numFmt w:val="bullet"/>
      <w:lvlText w:val=""/>
      <w:lvlJc w:val="left"/>
      <w:pPr>
        <w:tabs>
          <w:tab w:val="num" w:pos="0"/>
        </w:tabs>
        <w:ind w:left="720" w:hanging="360"/>
      </w:pPr>
      <w:rPr>
        <w:rFonts w:ascii="Symbol" w:hAnsi="Symbol" w:cs="Symbol" w:hint="default"/>
        <w:sz w:val="22"/>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577563D"/>
    <w:multiLevelType w:val="multilevel"/>
    <w:tmpl w:val="42529E9E"/>
    <w:lvl w:ilvl="0">
      <w:numFmt w:val="bullet"/>
      <w:lvlText w:val="-"/>
      <w:lvlJc w:val="left"/>
      <w:pPr>
        <w:tabs>
          <w:tab w:val="num" w:pos="0"/>
        </w:tabs>
        <w:ind w:left="720" w:hanging="360"/>
      </w:pPr>
      <w:rPr>
        <w:rFonts w:ascii="Arial" w:hAnsi="Arial" w:cs="Aria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3FAA2C78"/>
    <w:multiLevelType w:val="multilevel"/>
    <w:tmpl w:val="7C6CC86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8" w15:restartNumberingAfterBreak="0">
    <w:nsid w:val="430C74F0"/>
    <w:multiLevelType w:val="multilevel"/>
    <w:tmpl w:val="E7AC67EA"/>
    <w:lvl w:ilvl="0">
      <w:start w:val="1"/>
      <w:numFmt w:val="bullet"/>
      <w:lvlText w:val="-"/>
      <w:lvlJc w:val="left"/>
      <w:pPr>
        <w:tabs>
          <w:tab w:val="num" w:pos="0"/>
        </w:tabs>
        <w:ind w:left="720" w:hanging="360"/>
      </w:pPr>
      <w:rPr>
        <w:rFonts w:ascii="Arial Nova" w:hAnsi="Arial Nova" w:cs="Arial Nova"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49726155"/>
    <w:multiLevelType w:val="multilevel"/>
    <w:tmpl w:val="6778E39C"/>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0" w15:restartNumberingAfterBreak="0">
    <w:nsid w:val="5DC64BF9"/>
    <w:multiLevelType w:val="multilevel"/>
    <w:tmpl w:val="C31479C0"/>
    <w:lvl w:ilvl="0">
      <w:numFmt w:val="bullet"/>
      <w:lvlText w:val=""/>
      <w:lvlJc w:val="left"/>
      <w:pPr>
        <w:tabs>
          <w:tab w:val="num" w:pos="0"/>
        </w:tabs>
        <w:ind w:left="720" w:hanging="360"/>
      </w:pPr>
      <w:rPr>
        <w:rFonts w:ascii="Symbol" w:hAnsi="Symbol" w:cs="Symbol" w:hint="default"/>
      </w:rPr>
    </w:lvl>
    <w:lvl w:ilvl="1">
      <w:numFmt w:val="bullet"/>
      <w:lvlText w:val="o"/>
      <w:lvlJc w:val="left"/>
      <w:pPr>
        <w:tabs>
          <w:tab w:val="num" w:pos="0"/>
        </w:tabs>
        <w:ind w:left="1440" w:hanging="360"/>
      </w:pPr>
      <w:rPr>
        <w:rFonts w:ascii="Courier New" w:hAnsi="Courier New" w:cs="Courier New" w:hint="default"/>
      </w:rPr>
    </w:lvl>
    <w:lvl w:ilvl="2">
      <w:numFmt w:val="bullet"/>
      <w:lvlText w:val=""/>
      <w:lvlJc w:val="left"/>
      <w:pPr>
        <w:tabs>
          <w:tab w:val="num" w:pos="0"/>
        </w:tabs>
        <w:ind w:left="2160" w:hanging="360"/>
      </w:pPr>
      <w:rPr>
        <w:rFonts w:ascii="Wingdings" w:hAnsi="Wingdings" w:cs="Wingdings" w:hint="default"/>
      </w:rPr>
    </w:lvl>
    <w:lvl w:ilvl="3">
      <w:numFmt w:val="bullet"/>
      <w:lvlText w:val=""/>
      <w:lvlJc w:val="left"/>
      <w:pPr>
        <w:tabs>
          <w:tab w:val="num" w:pos="0"/>
        </w:tabs>
        <w:ind w:left="2880" w:hanging="360"/>
      </w:pPr>
      <w:rPr>
        <w:rFonts w:ascii="Symbol" w:hAnsi="Symbol" w:cs="Symbol" w:hint="default"/>
      </w:rPr>
    </w:lvl>
    <w:lvl w:ilvl="4">
      <w:numFmt w:val="bullet"/>
      <w:lvlText w:val="o"/>
      <w:lvlJc w:val="left"/>
      <w:pPr>
        <w:tabs>
          <w:tab w:val="num" w:pos="0"/>
        </w:tabs>
        <w:ind w:left="3600" w:hanging="360"/>
      </w:pPr>
      <w:rPr>
        <w:rFonts w:ascii="Courier New" w:hAnsi="Courier New" w:cs="Courier New" w:hint="default"/>
      </w:rPr>
    </w:lvl>
    <w:lvl w:ilvl="5">
      <w:numFmt w:val="bullet"/>
      <w:lvlText w:val=""/>
      <w:lvlJc w:val="left"/>
      <w:pPr>
        <w:tabs>
          <w:tab w:val="num" w:pos="0"/>
        </w:tabs>
        <w:ind w:left="4320" w:hanging="360"/>
      </w:pPr>
      <w:rPr>
        <w:rFonts w:ascii="Wingdings" w:hAnsi="Wingdings" w:cs="Wingdings" w:hint="default"/>
      </w:rPr>
    </w:lvl>
    <w:lvl w:ilvl="6">
      <w:numFmt w:val="bullet"/>
      <w:lvlText w:val=""/>
      <w:lvlJc w:val="left"/>
      <w:pPr>
        <w:tabs>
          <w:tab w:val="num" w:pos="0"/>
        </w:tabs>
        <w:ind w:left="5040" w:hanging="360"/>
      </w:pPr>
      <w:rPr>
        <w:rFonts w:ascii="Symbol" w:hAnsi="Symbol" w:cs="Symbol" w:hint="default"/>
      </w:rPr>
    </w:lvl>
    <w:lvl w:ilvl="7">
      <w:numFmt w:val="bullet"/>
      <w:lvlText w:val="o"/>
      <w:lvlJc w:val="left"/>
      <w:pPr>
        <w:tabs>
          <w:tab w:val="num" w:pos="0"/>
        </w:tabs>
        <w:ind w:left="5760" w:hanging="360"/>
      </w:pPr>
      <w:rPr>
        <w:rFonts w:ascii="Courier New" w:hAnsi="Courier New" w:cs="Courier New" w:hint="default"/>
      </w:rPr>
    </w:lvl>
    <w:lvl w:ilvl="8">
      <w:numFmt w:val="bullet"/>
      <w:lvlText w:val=""/>
      <w:lvlJc w:val="left"/>
      <w:pPr>
        <w:tabs>
          <w:tab w:val="num" w:pos="0"/>
        </w:tabs>
        <w:ind w:left="6480" w:hanging="360"/>
      </w:pPr>
      <w:rPr>
        <w:rFonts w:ascii="Wingdings" w:hAnsi="Wingdings" w:cs="Wingdings" w:hint="default"/>
      </w:rPr>
    </w:lvl>
  </w:abstractNum>
  <w:abstractNum w:abstractNumId="11" w15:restartNumberingAfterBreak="0">
    <w:nsid w:val="6BB07D66"/>
    <w:multiLevelType w:val="multilevel"/>
    <w:tmpl w:val="EBAA6F6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1"/>
  </w:num>
  <w:num w:numId="2">
    <w:abstractNumId w:val="3"/>
  </w:num>
  <w:num w:numId="3">
    <w:abstractNumId w:val="6"/>
  </w:num>
  <w:num w:numId="4">
    <w:abstractNumId w:val="7"/>
  </w:num>
  <w:num w:numId="5">
    <w:abstractNumId w:val="4"/>
  </w:num>
  <w:num w:numId="6">
    <w:abstractNumId w:val="11"/>
  </w:num>
  <w:num w:numId="7">
    <w:abstractNumId w:val="5"/>
  </w:num>
  <w:num w:numId="8">
    <w:abstractNumId w:val="9"/>
  </w:num>
  <w:num w:numId="9">
    <w:abstractNumId w:val="8"/>
  </w:num>
  <w:num w:numId="10">
    <w:abstractNumId w:val="0"/>
  </w:num>
  <w:num w:numId="11">
    <w:abstractNumId w:val="10"/>
  </w:num>
  <w:num w:numId="12">
    <w:abstractNumId w:val="2"/>
  </w:num>
  <w:num w:numId="13">
    <w:abstractNumId w:val="3"/>
    <w:lvlOverride w:ilvl="0">
      <w:startOverride w:val="1"/>
    </w:lvlOverride>
  </w:num>
  <w:num w:numId="14">
    <w:abstractNumId w:val="10"/>
  </w:num>
  <w:num w:numId="15">
    <w:abstractNumId w:val="10"/>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08"/>
  <w:autoHyphenation/>
  <w:hyphenationZone w:val="0"/>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4B59"/>
    <w:rsid w:val="00151E49"/>
    <w:rsid w:val="002E2022"/>
    <w:rsid w:val="00594B59"/>
    <w:rsid w:val="007D34CA"/>
    <w:rsid w:val="00975123"/>
    <w:rsid w:val="00A81922"/>
    <w:rsid w:val="00C41BB5"/>
    <w:rsid w:val="00D11D2E"/>
    <w:rsid w:val="00ED1A48"/>
    <w:rsid w:val="00F23BEE"/>
  </w:rsids>
  <m:mathPr>
    <m:mathFont m:val="Cambria Math"/>
    <m:brkBin m:val="before"/>
    <m:brkBinSub m:val="--"/>
    <m:smallFrac m:val="0"/>
    <m:dispDef/>
    <m:lMargin m:val="0"/>
    <m:rMargin m:val="0"/>
    <m:defJc m:val="centerGroup"/>
    <m:wrapIndent m:val="1440"/>
    <m:intLim m:val="subSup"/>
    <m:naryLim m:val="undOvr"/>
  </m:mathPr>
  <w:themeFontLang w:val="it-IT"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DCEC0"/>
  <w15:docId w15:val="{5FF2B974-6D67-420D-8FA6-AEBC2E3767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it-IT" w:eastAsia="en-US" w:bidi="ar-SA"/>
      </w:rPr>
    </w:rPrDefault>
    <w:pPrDefault>
      <w:pPr>
        <w:suppressAutoHyphens/>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67324"/>
    <w:pPr>
      <w:spacing w:after="200" w:line="312" w:lineRule="auto"/>
      <w:jc w:val="both"/>
    </w:pPr>
    <w:rPr>
      <w:rFonts w:ascii="Calibri" w:hAnsi="Calibri"/>
      <w:color w:val="404040" w:themeColor="text1" w:themeTint="BF"/>
      <w:sz w:val="22"/>
    </w:rPr>
  </w:style>
  <w:style w:type="paragraph" w:styleId="Titolo1">
    <w:name w:val="heading 1"/>
    <w:basedOn w:val="Normale"/>
    <w:next w:val="Normale"/>
    <w:link w:val="Titolo1Carattere"/>
    <w:uiPriority w:val="9"/>
    <w:qFormat/>
    <w:rsid w:val="00E24133"/>
    <w:pPr>
      <w:keepNext/>
      <w:keepLines/>
      <w:numPr>
        <w:numId w:val="1"/>
      </w:numPr>
      <w:spacing w:before="480" w:after="240" w:line="276" w:lineRule="auto"/>
      <w:ind w:left="357" w:hanging="357"/>
      <w:outlineLvl w:val="0"/>
    </w:pPr>
    <w:rPr>
      <w:rFonts w:eastAsiaTheme="majorEastAsia" w:cs="Times New Roman (Titoli CS)"/>
      <w:b/>
      <w:sz w:val="28"/>
      <w:szCs w:val="40"/>
    </w:rPr>
  </w:style>
  <w:style w:type="paragraph" w:styleId="Titolo2">
    <w:name w:val="heading 2"/>
    <w:basedOn w:val="Normale"/>
    <w:next w:val="Normale"/>
    <w:link w:val="Titolo2Carattere"/>
    <w:uiPriority w:val="9"/>
    <w:unhideWhenUsed/>
    <w:qFormat/>
    <w:rsid w:val="00067324"/>
    <w:pPr>
      <w:keepNext/>
      <w:keepLines/>
      <w:numPr>
        <w:ilvl w:val="1"/>
        <w:numId w:val="1"/>
      </w:numPr>
      <w:spacing w:before="480" w:after="240" w:line="266" w:lineRule="auto"/>
      <w:outlineLvl w:val="1"/>
    </w:pPr>
    <w:rPr>
      <w:rFonts w:eastAsiaTheme="majorEastAsia" w:cstheme="majorBidi"/>
      <w:b/>
      <w:color w:val="44546A" w:themeColor="text2"/>
      <w:sz w:val="24"/>
      <w:szCs w:val="28"/>
    </w:rPr>
  </w:style>
  <w:style w:type="paragraph" w:styleId="Titolo3">
    <w:name w:val="heading 3"/>
    <w:basedOn w:val="Normale"/>
    <w:next w:val="Normale"/>
    <w:link w:val="Titolo3Carattere"/>
    <w:uiPriority w:val="9"/>
    <w:unhideWhenUsed/>
    <w:qFormat/>
    <w:rsid w:val="00067324"/>
    <w:pPr>
      <w:keepNext/>
      <w:keepLines/>
      <w:numPr>
        <w:ilvl w:val="2"/>
        <w:numId w:val="1"/>
      </w:numPr>
      <w:spacing w:before="480" w:after="240"/>
      <w:ind w:left="851" w:hanging="851"/>
      <w:outlineLvl w:val="2"/>
    </w:pPr>
    <w:rPr>
      <w:rFonts w:eastAsiaTheme="majorEastAsia" w:cstheme="majorBidi"/>
      <w:b/>
      <w:color w:val="44546A" w:themeColor="text2"/>
      <w:szCs w:val="24"/>
    </w:rPr>
  </w:style>
  <w:style w:type="paragraph" w:styleId="Titolo4">
    <w:name w:val="heading 4"/>
    <w:basedOn w:val="Normale"/>
    <w:next w:val="Normale"/>
    <w:link w:val="Titolo4Carattere"/>
    <w:uiPriority w:val="9"/>
    <w:unhideWhenUsed/>
    <w:qFormat/>
    <w:rsid w:val="00F8628F"/>
    <w:pPr>
      <w:keepNext/>
      <w:keepLines/>
      <w:pBdr>
        <w:top w:val="single" w:sz="36" w:space="12" w:color="C00000"/>
      </w:pBdr>
      <w:spacing w:before="600" w:after="240" w:line="276" w:lineRule="auto"/>
      <w:outlineLvl w:val="3"/>
    </w:pPr>
    <w:rPr>
      <w:rFonts w:eastAsiaTheme="majorEastAsia" w:cstheme="majorBidi"/>
      <w:b/>
      <w:caps/>
      <w:sz w:val="32"/>
      <w:szCs w:val="22"/>
    </w:rPr>
  </w:style>
  <w:style w:type="paragraph" w:styleId="Titolo5">
    <w:name w:val="heading 5"/>
    <w:basedOn w:val="Normale"/>
    <w:next w:val="Normale"/>
    <w:link w:val="Titolo5Carattere"/>
    <w:uiPriority w:val="9"/>
    <w:semiHidden/>
    <w:unhideWhenUsed/>
    <w:qFormat/>
    <w:rsid w:val="00281EF7"/>
    <w:pPr>
      <w:keepNext/>
      <w:keepLines/>
      <w:spacing w:before="40" w:after="0"/>
      <w:outlineLvl w:val="4"/>
    </w:pPr>
    <w:rPr>
      <w:rFonts w:asciiTheme="majorHAnsi" w:eastAsiaTheme="majorEastAsia" w:hAnsiTheme="majorHAnsi" w:cstheme="majorBidi"/>
      <w:i/>
      <w:iCs/>
      <w:color w:val="70AD47" w:themeColor="accent6"/>
      <w:szCs w:val="22"/>
    </w:rPr>
  </w:style>
  <w:style w:type="paragraph" w:styleId="Titolo6">
    <w:name w:val="heading 6"/>
    <w:basedOn w:val="Normale"/>
    <w:next w:val="Normale"/>
    <w:link w:val="Titolo6Carattere"/>
    <w:uiPriority w:val="9"/>
    <w:semiHidden/>
    <w:unhideWhenUsed/>
    <w:qFormat/>
    <w:rsid w:val="00281EF7"/>
    <w:pPr>
      <w:keepNext/>
      <w:keepLines/>
      <w:spacing w:before="40" w:after="0"/>
      <w:outlineLvl w:val="5"/>
    </w:pPr>
    <w:rPr>
      <w:rFonts w:asciiTheme="majorHAnsi" w:eastAsiaTheme="majorEastAsia" w:hAnsiTheme="majorHAnsi" w:cstheme="majorBidi"/>
      <w:color w:val="70AD47" w:themeColor="accent6"/>
    </w:rPr>
  </w:style>
  <w:style w:type="paragraph" w:styleId="Titolo7">
    <w:name w:val="heading 7"/>
    <w:basedOn w:val="Normale"/>
    <w:next w:val="Normale"/>
    <w:link w:val="Titolo7Carattere"/>
    <w:uiPriority w:val="9"/>
    <w:semiHidden/>
    <w:unhideWhenUsed/>
    <w:qFormat/>
    <w:rsid w:val="00281EF7"/>
    <w:pPr>
      <w:keepNext/>
      <w:keepLines/>
      <w:spacing w:before="40" w:after="0"/>
      <w:outlineLvl w:val="6"/>
    </w:pPr>
    <w:rPr>
      <w:rFonts w:asciiTheme="majorHAnsi" w:eastAsiaTheme="majorEastAsia" w:hAnsiTheme="majorHAnsi" w:cstheme="majorBidi"/>
      <w:b/>
      <w:bCs/>
      <w:color w:val="70AD47" w:themeColor="accent6"/>
    </w:rPr>
  </w:style>
  <w:style w:type="paragraph" w:styleId="Titolo8">
    <w:name w:val="heading 8"/>
    <w:basedOn w:val="Normale"/>
    <w:next w:val="Normale"/>
    <w:link w:val="Titolo8Carattere"/>
    <w:uiPriority w:val="9"/>
    <w:semiHidden/>
    <w:unhideWhenUsed/>
    <w:qFormat/>
    <w:rsid w:val="00281EF7"/>
    <w:pPr>
      <w:keepNext/>
      <w:keepLines/>
      <w:spacing w:before="40" w:after="0"/>
      <w:outlineLvl w:val="7"/>
    </w:pPr>
    <w:rPr>
      <w:rFonts w:asciiTheme="majorHAnsi" w:eastAsiaTheme="majorEastAsia" w:hAnsiTheme="majorHAnsi" w:cstheme="majorBidi"/>
      <w:b/>
      <w:bCs/>
      <w:i/>
      <w:iCs/>
      <w:color w:val="70AD47" w:themeColor="accent6"/>
      <w:sz w:val="20"/>
      <w:szCs w:val="20"/>
    </w:rPr>
  </w:style>
  <w:style w:type="paragraph" w:styleId="Titolo9">
    <w:name w:val="heading 9"/>
    <w:basedOn w:val="Normale"/>
    <w:next w:val="Normale"/>
    <w:link w:val="Titolo9Carattere"/>
    <w:uiPriority w:val="9"/>
    <w:semiHidden/>
    <w:unhideWhenUsed/>
    <w:qFormat/>
    <w:rsid w:val="00281EF7"/>
    <w:pPr>
      <w:keepNext/>
      <w:keepLines/>
      <w:spacing w:before="40" w:after="0"/>
      <w:outlineLvl w:val="8"/>
    </w:pPr>
    <w:rPr>
      <w:rFonts w:asciiTheme="majorHAnsi" w:eastAsiaTheme="majorEastAsia" w:hAnsiTheme="majorHAnsi" w:cstheme="majorBidi"/>
      <w:i/>
      <w:iCs/>
      <w:color w:val="70AD47" w:themeColor="accent6"/>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IntestazioneCarattere">
    <w:name w:val="Intestazione Carattere"/>
    <w:basedOn w:val="Carpredefinitoparagrafo"/>
    <w:link w:val="Intestazione"/>
    <w:uiPriority w:val="99"/>
    <w:qFormat/>
    <w:rsid w:val="00281EF7"/>
  </w:style>
  <w:style w:type="character" w:customStyle="1" w:styleId="PidipaginaCarattere">
    <w:name w:val="Piè di pagina Carattere"/>
    <w:basedOn w:val="Carpredefinitoparagrafo"/>
    <w:link w:val="Pidipagina"/>
    <w:uiPriority w:val="99"/>
    <w:qFormat/>
    <w:rsid w:val="00281EF7"/>
  </w:style>
  <w:style w:type="character" w:customStyle="1" w:styleId="Titolo1Carattere">
    <w:name w:val="Titolo 1 Carattere"/>
    <w:basedOn w:val="Carpredefinitoparagrafo"/>
    <w:link w:val="Titolo1"/>
    <w:uiPriority w:val="9"/>
    <w:qFormat/>
    <w:rsid w:val="00E24133"/>
    <w:rPr>
      <w:rFonts w:ascii="Calibri" w:eastAsiaTheme="majorEastAsia" w:hAnsi="Calibri" w:cs="Times New Roman (Titoli CS)"/>
      <w:b/>
      <w:sz w:val="28"/>
      <w:szCs w:val="40"/>
    </w:rPr>
  </w:style>
  <w:style w:type="character" w:customStyle="1" w:styleId="Titolo2Carattere">
    <w:name w:val="Titolo 2 Carattere"/>
    <w:basedOn w:val="Carpredefinitoparagrafo"/>
    <w:link w:val="Titolo2"/>
    <w:uiPriority w:val="9"/>
    <w:qFormat/>
    <w:rsid w:val="00067324"/>
    <w:rPr>
      <w:rFonts w:ascii="Calibri" w:eastAsiaTheme="majorEastAsia" w:hAnsi="Calibri" w:cstheme="majorBidi"/>
      <w:b/>
      <w:color w:val="44546A" w:themeColor="text2"/>
      <w:sz w:val="24"/>
      <w:szCs w:val="28"/>
    </w:rPr>
  </w:style>
  <w:style w:type="character" w:customStyle="1" w:styleId="Titolo3Carattere">
    <w:name w:val="Titolo 3 Carattere"/>
    <w:basedOn w:val="Carpredefinitoparagrafo"/>
    <w:link w:val="Titolo3"/>
    <w:uiPriority w:val="9"/>
    <w:qFormat/>
    <w:rsid w:val="00067324"/>
    <w:rPr>
      <w:rFonts w:ascii="Calibri" w:eastAsiaTheme="majorEastAsia" w:hAnsi="Calibri" w:cstheme="majorBidi"/>
      <w:b/>
      <w:color w:val="44546A" w:themeColor="text2"/>
      <w:sz w:val="22"/>
      <w:szCs w:val="24"/>
    </w:rPr>
  </w:style>
  <w:style w:type="character" w:customStyle="1" w:styleId="Titolo4Carattere">
    <w:name w:val="Titolo 4 Carattere"/>
    <w:basedOn w:val="Carpredefinitoparagrafo"/>
    <w:link w:val="Titolo4"/>
    <w:uiPriority w:val="9"/>
    <w:qFormat/>
    <w:rsid w:val="00F8628F"/>
    <w:rPr>
      <w:rFonts w:ascii="Calibri" w:eastAsiaTheme="majorEastAsia" w:hAnsi="Calibri" w:cstheme="majorBidi"/>
      <w:b/>
      <w:caps/>
      <w:color w:val="C00000"/>
      <w:sz w:val="32"/>
      <w:szCs w:val="22"/>
    </w:rPr>
  </w:style>
  <w:style w:type="character" w:customStyle="1" w:styleId="Titolo5Carattere">
    <w:name w:val="Titolo 5 Carattere"/>
    <w:basedOn w:val="Carpredefinitoparagrafo"/>
    <w:link w:val="Titolo5"/>
    <w:uiPriority w:val="9"/>
    <w:semiHidden/>
    <w:qFormat/>
    <w:rsid w:val="00281EF7"/>
    <w:rPr>
      <w:rFonts w:asciiTheme="majorHAnsi" w:eastAsiaTheme="majorEastAsia" w:hAnsiTheme="majorHAnsi" w:cstheme="majorBidi"/>
      <w:i/>
      <w:iCs/>
      <w:color w:val="70AD47" w:themeColor="accent6"/>
      <w:sz w:val="22"/>
      <w:szCs w:val="22"/>
    </w:rPr>
  </w:style>
  <w:style w:type="character" w:customStyle="1" w:styleId="Titolo6Carattere">
    <w:name w:val="Titolo 6 Carattere"/>
    <w:basedOn w:val="Carpredefinitoparagrafo"/>
    <w:link w:val="Titolo6"/>
    <w:uiPriority w:val="9"/>
    <w:semiHidden/>
    <w:qFormat/>
    <w:rsid w:val="00281EF7"/>
    <w:rPr>
      <w:rFonts w:asciiTheme="majorHAnsi" w:eastAsiaTheme="majorEastAsia" w:hAnsiTheme="majorHAnsi" w:cstheme="majorBidi"/>
      <w:color w:val="70AD47" w:themeColor="accent6"/>
    </w:rPr>
  </w:style>
  <w:style w:type="character" w:customStyle="1" w:styleId="Titolo7Carattere">
    <w:name w:val="Titolo 7 Carattere"/>
    <w:basedOn w:val="Carpredefinitoparagrafo"/>
    <w:link w:val="Titolo7"/>
    <w:uiPriority w:val="9"/>
    <w:semiHidden/>
    <w:qFormat/>
    <w:rsid w:val="00281EF7"/>
    <w:rPr>
      <w:rFonts w:asciiTheme="majorHAnsi" w:eastAsiaTheme="majorEastAsia" w:hAnsiTheme="majorHAnsi" w:cstheme="majorBidi"/>
      <w:b/>
      <w:bCs/>
      <w:color w:val="70AD47" w:themeColor="accent6"/>
    </w:rPr>
  </w:style>
  <w:style w:type="character" w:customStyle="1" w:styleId="Titolo8Carattere">
    <w:name w:val="Titolo 8 Carattere"/>
    <w:basedOn w:val="Carpredefinitoparagrafo"/>
    <w:link w:val="Titolo8"/>
    <w:uiPriority w:val="9"/>
    <w:semiHidden/>
    <w:qFormat/>
    <w:rsid w:val="00281EF7"/>
    <w:rPr>
      <w:rFonts w:asciiTheme="majorHAnsi" w:eastAsiaTheme="majorEastAsia" w:hAnsiTheme="majorHAnsi" w:cstheme="majorBidi"/>
      <w:b/>
      <w:bCs/>
      <w:i/>
      <w:iCs/>
      <w:color w:val="70AD47" w:themeColor="accent6"/>
      <w:sz w:val="20"/>
      <w:szCs w:val="20"/>
    </w:rPr>
  </w:style>
  <w:style w:type="character" w:customStyle="1" w:styleId="Titolo9Carattere">
    <w:name w:val="Titolo 9 Carattere"/>
    <w:basedOn w:val="Carpredefinitoparagrafo"/>
    <w:link w:val="Titolo9"/>
    <w:uiPriority w:val="9"/>
    <w:semiHidden/>
    <w:qFormat/>
    <w:rsid w:val="00281EF7"/>
    <w:rPr>
      <w:rFonts w:asciiTheme="majorHAnsi" w:eastAsiaTheme="majorEastAsia" w:hAnsiTheme="majorHAnsi" w:cstheme="majorBidi"/>
      <w:i/>
      <w:iCs/>
      <w:color w:val="70AD47" w:themeColor="accent6"/>
      <w:sz w:val="20"/>
      <w:szCs w:val="20"/>
    </w:rPr>
  </w:style>
  <w:style w:type="character" w:customStyle="1" w:styleId="TitoloCarattere">
    <w:name w:val="Titolo Carattere"/>
    <w:basedOn w:val="Carpredefinitoparagrafo"/>
    <w:link w:val="Titolo"/>
    <w:uiPriority w:val="10"/>
    <w:qFormat/>
    <w:rsid w:val="00281EF7"/>
    <w:rPr>
      <w:rFonts w:asciiTheme="majorHAnsi" w:eastAsiaTheme="majorEastAsia" w:hAnsiTheme="majorHAnsi" w:cstheme="majorBidi"/>
      <w:color w:val="262626" w:themeColor="text1" w:themeTint="D9"/>
      <w:spacing w:val="-15"/>
      <w:sz w:val="96"/>
      <w:szCs w:val="96"/>
    </w:rPr>
  </w:style>
  <w:style w:type="character" w:customStyle="1" w:styleId="SottotitoloCarattere">
    <w:name w:val="Sottotitolo Carattere"/>
    <w:basedOn w:val="Carpredefinitoparagrafo"/>
    <w:link w:val="Sottotitolo"/>
    <w:uiPriority w:val="11"/>
    <w:qFormat/>
    <w:rsid w:val="00281EF7"/>
    <w:rPr>
      <w:rFonts w:asciiTheme="majorHAnsi" w:eastAsiaTheme="majorEastAsia" w:hAnsiTheme="majorHAnsi" w:cstheme="majorBidi"/>
      <w:sz w:val="30"/>
      <w:szCs w:val="30"/>
    </w:rPr>
  </w:style>
  <w:style w:type="character" w:styleId="Enfasigrassetto">
    <w:name w:val="Strong"/>
    <w:basedOn w:val="Carpredefinitoparagrafo"/>
    <w:uiPriority w:val="22"/>
    <w:qFormat/>
    <w:rsid w:val="00281EF7"/>
    <w:rPr>
      <w:b/>
      <w:bCs/>
    </w:rPr>
  </w:style>
  <w:style w:type="character" w:styleId="Enfasicorsivo">
    <w:name w:val="Emphasis"/>
    <w:basedOn w:val="Carpredefinitoparagrafo"/>
    <w:uiPriority w:val="20"/>
    <w:qFormat/>
    <w:rsid w:val="00281EF7"/>
    <w:rPr>
      <w:i/>
      <w:iCs/>
      <w:color w:val="70AD47" w:themeColor="accent6"/>
    </w:rPr>
  </w:style>
  <w:style w:type="character" w:customStyle="1" w:styleId="CitazioneCarattere">
    <w:name w:val="Citazione Carattere"/>
    <w:basedOn w:val="Carpredefinitoparagrafo"/>
    <w:link w:val="Citazione"/>
    <w:uiPriority w:val="29"/>
    <w:qFormat/>
    <w:rsid w:val="00281EF7"/>
    <w:rPr>
      <w:i/>
      <w:iCs/>
      <w:color w:val="262626" w:themeColor="text1" w:themeTint="D9"/>
    </w:rPr>
  </w:style>
  <w:style w:type="character" w:customStyle="1" w:styleId="CitazioneintensaCarattere">
    <w:name w:val="Citazione intensa Carattere"/>
    <w:basedOn w:val="Carpredefinitoparagrafo"/>
    <w:link w:val="Citazioneintensa"/>
    <w:uiPriority w:val="30"/>
    <w:qFormat/>
    <w:rsid w:val="00281EF7"/>
    <w:rPr>
      <w:rFonts w:asciiTheme="majorHAnsi" w:eastAsiaTheme="majorEastAsia" w:hAnsiTheme="majorHAnsi" w:cstheme="majorBidi"/>
      <w:i/>
      <w:iCs/>
      <w:color w:val="70AD47" w:themeColor="accent6"/>
      <w:sz w:val="32"/>
      <w:szCs w:val="32"/>
    </w:rPr>
  </w:style>
  <w:style w:type="character" w:styleId="Enfasidelicata">
    <w:name w:val="Subtle Emphasis"/>
    <w:basedOn w:val="Carpredefinitoparagrafo"/>
    <w:uiPriority w:val="19"/>
    <w:qFormat/>
    <w:rsid w:val="00281EF7"/>
    <w:rPr>
      <w:i/>
      <w:iCs/>
    </w:rPr>
  </w:style>
  <w:style w:type="character" w:styleId="Enfasiintensa">
    <w:name w:val="Intense Emphasis"/>
    <w:basedOn w:val="Carpredefinitoparagrafo"/>
    <w:uiPriority w:val="21"/>
    <w:qFormat/>
    <w:rsid w:val="00281EF7"/>
    <w:rPr>
      <w:b/>
      <w:bCs/>
      <w:i/>
      <w:iCs/>
    </w:rPr>
  </w:style>
  <w:style w:type="character" w:styleId="Riferimentodelicato">
    <w:name w:val="Subtle Reference"/>
    <w:basedOn w:val="Carpredefinitoparagrafo"/>
    <w:uiPriority w:val="31"/>
    <w:qFormat/>
    <w:rsid w:val="00281EF7"/>
    <w:rPr>
      <w:smallCaps/>
      <w:color w:val="595959" w:themeColor="text1" w:themeTint="A6"/>
    </w:rPr>
  </w:style>
  <w:style w:type="character" w:styleId="Riferimentointenso">
    <w:name w:val="Intense Reference"/>
    <w:basedOn w:val="Carpredefinitoparagrafo"/>
    <w:uiPriority w:val="32"/>
    <w:qFormat/>
    <w:rsid w:val="00281EF7"/>
    <w:rPr>
      <w:b/>
      <w:bCs/>
      <w:smallCaps/>
      <w:color w:val="70AD47" w:themeColor="accent6"/>
    </w:rPr>
  </w:style>
  <w:style w:type="character" w:styleId="Titolodellibro">
    <w:name w:val="Book Title"/>
    <w:basedOn w:val="Carpredefinitoparagrafo"/>
    <w:uiPriority w:val="33"/>
    <w:qFormat/>
    <w:rsid w:val="00281EF7"/>
    <w:rPr>
      <w:b/>
      <w:bCs/>
      <w:smallCaps/>
      <w:spacing w:val="7"/>
      <w:sz w:val="21"/>
      <w:szCs w:val="21"/>
    </w:rPr>
  </w:style>
  <w:style w:type="character" w:styleId="Collegamentoipertestuale">
    <w:name w:val="Hyperlink"/>
    <w:basedOn w:val="Carpredefinitoparagrafo"/>
    <w:uiPriority w:val="99"/>
    <w:unhideWhenUsed/>
    <w:rsid w:val="00281EF7"/>
    <w:rPr>
      <w:color w:val="0563C1" w:themeColor="hyperlink"/>
      <w:u w:val="single"/>
    </w:rPr>
  </w:style>
  <w:style w:type="character" w:customStyle="1" w:styleId="TestonotaapidipaginaCarattere">
    <w:name w:val="Testo nota a piè di pagina Carattere"/>
    <w:basedOn w:val="Carpredefinitoparagrafo"/>
    <w:link w:val="Testonotaapidipagina"/>
    <w:uiPriority w:val="99"/>
    <w:semiHidden/>
    <w:qFormat/>
    <w:rsid w:val="008532B5"/>
    <w:rPr>
      <w:color w:val="595959" w:themeColor="text1" w:themeTint="A6"/>
      <w:sz w:val="20"/>
      <w:szCs w:val="20"/>
    </w:rPr>
  </w:style>
  <w:style w:type="character" w:customStyle="1" w:styleId="Caratterinotaapidipagina">
    <w:name w:val="Caratteri nota a piè di pagina"/>
    <w:uiPriority w:val="99"/>
    <w:unhideWhenUsed/>
    <w:qFormat/>
    <w:rsid w:val="009B3FDC"/>
    <w:rPr>
      <w:vertAlign w:val="superscript"/>
    </w:rPr>
  </w:style>
  <w:style w:type="character" w:styleId="Rimandonotaapidipagina">
    <w:name w:val="footnote reference"/>
    <w:rPr>
      <w:vertAlign w:val="superscript"/>
    </w:rPr>
  </w:style>
  <w:style w:type="character" w:styleId="Numeropagina">
    <w:name w:val="page number"/>
    <w:basedOn w:val="Carpredefinitoparagrafo"/>
    <w:uiPriority w:val="99"/>
    <w:semiHidden/>
    <w:unhideWhenUsed/>
    <w:rsid w:val="009731D1"/>
  </w:style>
  <w:style w:type="character" w:customStyle="1" w:styleId="TestocommentoCarattere">
    <w:name w:val="Testo commento Carattere"/>
    <w:basedOn w:val="Carpredefinitoparagrafo"/>
    <w:link w:val="Testocommento"/>
    <w:uiPriority w:val="99"/>
    <w:qFormat/>
    <w:rsid w:val="005601B4"/>
    <w:rPr>
      <w:sz w:val="20"/>
      <w:szCs w:val="20"/>
      <w:lang w:eastAsia="it-IT"/>
    </w:rPr>
  </w:style>
  <w:style w:type="character" w:styleId="Rimandocommento">
    <w:name w:val="annotation reference"/>
    <w:basedOn w:val="Carpredefinitoparagrafo"/>
    <w:uiPriority w:val="99"/>
    <w:semiHidden/>
    <w:unhideWhenUsed/>
    <w:qFormat/>
    <w:rsid w:val="005601B4"/>
    <w:rPr>
      <w:sz w:val="16"/>
      <w:szCs w:val="16"/>
    </w:rPr>
  </w:style>
  <w:style w:type="character" w:customStyle="1" w:styleId="TestofumettoCarattere">
    <w:name w:val="Testo fumetto Carattere"/>
    <w:basedOn w:val="Carpredefinitoparagrafo"/>
    <w:link w:val="Testofumetto"/>
    <w:uiPriority w:val="99"/>
    <w:semiHidden/>
    <w:qFormat/>
    <w:rsid w:val="00944B2E"/>
    <w:rPr>
      <w:rFonts w:ascii="Tahoma" w:hAnsi="Tahoma" w:cs="Tahoma"/>
      <w:color w:val="404040" w:themeColor="text1" w:themeTint="BF"/>
      <w:sz w:val="16"/>
      <w:szCs w:val="16"/>
    </w:rPr>
  </w:style>
  <w:style w:type="character" w:styleId="Menzionenonrisolta">
    <w:name w:val="Unresolved Mention"/>
    <w:basedOn w:val="Carpredefinitoparagrafo"/>
    <w:uiPriority w:val="99"/>
    <w:semiHidden/>
    <w:unhideWhenUsed/>
    <w:qFormat/>
    <w:rsid w:val="00745529"/>
    <w:rPr>
      <w:color w:val="605E5C"/>
      <w:shd w:val="clear" w:color="auto" w:fill="E1DFDD"/>
    </w:rPr>
  </w:style>
  <w:style w:type="character" w:customStyle="1" w:styleId="SoggettocommentoCarattere">
    <w:name w:val="Soggetto commento Carattere"/>
    <w:basedOn w:val="TestocommentoCarattere"/>
    <w:link w:val="Soggettocommento"/>
    <w:uiPriority w:val="99"/>
    <w:semiHidden/>
    <w:qFormat/>
    <w:rsid w:val="00BD2BB1"/>
    <w:rPr>
      <w:b/>
      <w:bCs/>
      <w:color w:val="404040" w:themeColor="text1" w:themeTint="BF"/>
      <w:sz w:val="20"/>
      <w:szCs w:val="20"/>
      <w:lang w:eastAsia="it-IT"/>
    </w:rPr>
  </w:style>
  <w:style w:type="character" w:customStyle="1" w:styleId="Saltoaindice">
    <w:name w:val="Salto a indice"/>
    <w:qFormat/>
  </w:style>
  <w:style w:type="paragraph" w:styleId="Titolo">
    <w:name w:val="Title"/>
    <w:basedOn w:val="Normale"/>
    <w:next w:val="Corpotesto"/>
    <w:link w:val="TitoloCarattere"/>
    <w:uiPriority w:val="10"/>
    <w:qFormat/>
    <w:rsid w:val="00281EF7"/>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paragraph" w:styleId="Corpotesto">
    <w:name w:val="Body Text"/>
    <w:basedOn w:val="Normale"/>
    <w:pPr>
      <w:spacing w:after="140" w:line="276" w:lineRule="auto"/>
    </w:pPr>
  </w:style>
  <w:style w:type="paragraph" w:styleId="Elenco">
    <w:name w:val="List"/>
    <w:basedOn w:val="Corpotesto"/>
    <w:rPr>
      <w:rFonts w:cs="Lucida Sans"/>
    </w:rPr>
  </w:style>
  <w:style w:type="paragraph" w:styleId="Didascalia">
    <w:name w:val="caption"/>
    <w:basedOn w:val="Normale"/>
    <w:next w:val="Normale"/>
    <w:uiPriority w:val="35"/>
    <w:semiHidden/>
    <w:unhideWhenUsed/>
    <w:qFormat/>
    <w:rsid w:val="00281EF7"/>
    <w:pPr>
      <w:spacing w:line="240" w:lineRule="auto"/>
    </w:pPr>
    <w:rPr>
      <w:b/>
      <w:bCs/>
      <w:smallCaps/>
      <w:color w:val="595959" w:themeColor="text1" w:themeTint="A6"/>
    </w:rPr>
  </w:style>
  <w:style w:type="paragraph" w:customStyle="1" w:styleId="Indice">
    <w:name w:val="Indice"/>
    <w:basedOn w:val="Normale"/>
    <w:qFormat/>
    <w:pPr>
      <w:suppressLineNumbers/>
    </w:pPr>
    <w:rPr>
      <w:rFonts w:cs="Lucida Sans"/>
    </w:rPr>
  </w:style>
  <w:style w:type="paragraph" w:customStyle="1" w:styleId="Intestazioneepidipagina">
    <w:name w:val="Intestazione e piè di pagina"/>
    <w:basedOn w:val="Normale"/>
    <w:qFormat/>
  </w:style>
  <w:style w:type="paragraph" w:styleId="Intestazione">
    <w:name w:val="header"/>
    <w:basedOn w:val="Normale"/>
    <w:link w:val="IntestazioneCarattere"/>
    <w:uiPriority w:val="99"/>
    <w:unhideWhenUsed/>
    <w:rsid w:val="00281EF7"/>
    <w:pPr>
      <w:tabs>
        <w:tab w:val="center" w:pos="4819"/>
        <w:tab w:val="right" w:pos="9638"/>
      </w:tabs>
      <w:spacing w:after="0" w:line="240" w:lineRule="auto"/>
    </w:pPr>
  </w:style>
  <w:style w:type="paragraph" w:styleId="Pidipagina">
    <w:name w:val="footer"/>
    <w:basedOn w:val="Normale"/>
    <w:link w:val="PidipaginaCarattere"/>
    <w:uiPriority w:val="99"/>
    <w:unhideWhenUsed/>
    <w:rsid w:val="00281EF7"/>
    <w:pPr>
      <w:tabs>
        <w:tab w:val="center" w:pos="4819"/>
        <w:tab w:val="right" w:pos="9638"/>
      </w:tabs>
      <w:spacing w:after="0" w:line="240" w:lineRule="auto"/>
    </w:pPr>
  </w:style>
  <w:style w:type="paragraph" w:customStyle="1" w:styleId="Default">
    <w:name w:val="Default"/>
    <w:qFormat/>
    <w:rsid w:val="00281EF7"/>
    <w:rPr>
      <w:rFonts w:ascii="Calibri" w:eastAsia="Calibri" w:hAnsi="Calibri" w:cs="Calibri"/>
      <w:color w:val="000000"/>
      <w:sz w:val="24"/>
      <w:szCs w:val="24"/>
    </w:rPr>
  </w:style>
  <w:style w:type="paragraph" w:styleId="Sottotitolo">
    <w:name w:val="Subtitle"/>
    <w:basedOn w:val="Normale"/>
    <w:next w:val="Normale"/>
    <w:link w:val="SottotitoloCarattere"/>
    <w:uiPriority w:val="11"/>
    <w:qFormat/>
    <w:rsid w:val="00281EF7"/>
    <w:pPr>
      <w:spacing w:line="240" w:lineRule="auto"/>
    </w:pPr>
    <w:rPr>
      <w:rFonts w:asciiTheme="majorHAnsi" w:eastAsiaTheme="majorEastAsia" w:hAnsiTheme="majorHAnsi" w:cstheme="majorBidi"/>
      <w:sz w:val="30"/>
      <w:szCs w:val="30"/>
    </w:rPr>
  </w:style>
  <w:style w:type="paragraph" w:styleId="Nessunaspaziatura">
    <w:name w:val="No Spacing"/>
    <w:uiPriority w:val="1"/>
    <w:qFormat/>
    <w:rsid w:val="00281EF7"/>
  </w:style>
  <w:style w:type="paragraph" w:styleId="Citazione">
    <w:name w:val="Quote"/>
    <w:basedOn w:val="Normale"/>
    <w:next w:val="Normale"/>
    <w:link w:val="CitazioneCarattere"/>
    <w:uiPriority w:val="29"/>
    <w:qFormat/>
    <w:rsid w:val="00281EF7"/>
    <w:pPr>
      <w:spacing w:before="160"/>
      <w:ind w:left="720" w:right="720"/>
      <w:jc w:val="center"/>
    </w:pPr>
    <w:rPr>
      <w:i/>
      <w:iCs/>
      <w:color w:val="262626" w:themeColor="text1" w:themeTint="D9"/>
    </w:rPr>
  </w:style>
  <w:style w:type="paragraph" w:styleId="Citazioneintensa">
    <w:name w:val="Intense Quote"/>
    <w:basedOn w:val="Normale"/>
    <w:next w:val="Normale"/>
    <w:link w:val="CitazioneintensaCarattere"/>
    <w:uiPriority w:val="30"/>
    <w:qFormat/>
    <w:rsid w:val="00281EF7"/>
    <w:pPr>
      <w:spacing w:before="160" w:after="160" w:line="264" w:lineRule="auto"/>
      <w:ind w:left="720" w:right="720"/>
      <w:jc w:val="center"/>
    </w:pPr>
    <w:rPr>
      <w:rFonts w:asciiTheme="majorHAnsi" w:eastAsiaTheme="majorEastAsia" w:hAnsiTheme="majorHAnsi" w:cstheme="majorBidi"/>
      <w:i/>
      <w:iCs/>
      <w:color w:val="70AD47" w:themeColor="accent6"/>
      <w:sz w:val="32"/>
      <w:szCs w:val="32"/>
    </w:rPr>
  </w:style>
  <w:style w:type="paragraph" w:styleId="Titoloindice">
    <w:name w:val="index heading"/>
    <w:basedOn w:val="Titolo"/>
  </w:style>
  <w:style w:type="paragraph" w:styleId="Titolosommario">
    <w:name w:val="TOC Heading"/>
    <w:basedOn w:val="Titolo1"/>
    <w:next w:val="Normale"/>
    <w:uiPriority w:val="39"/>
    <w:semiHidden/>
    <w:unhideWhenUsed/>
    <w:qFormat/>
    <w:rsid w:val="00281EF7"/>
    <w:pPr>
      <w:outlineLvl w:val="9"/>
    </w:pPr>
  </w:style>
  <w:style w:type="paragraph" w:styleId="Sommario1">
    <w:name w:val="toc 1"/>
    <w:basedOn w:val="Normale"/>
    <w:next w:val="Normale"/>
    <w:autoRedefine/>
    <w:uiPriority w:val="39"/>
    <w:unhideWhenUsed/>
    <w:rsid w:val="00F8628F"/>
    <w:pPr>
      <w:tabs>
        <w:tab w:val="left" w:pos="7938"/>
      </w:tabs>
      <w:spacing w:before="120" w:after="120" w:line="264" w:lineRule="auto"/>
      <w:ind w:left="284" w:hanging="284"/>
    </w:pPr>
    <w:rPr>
      <w:rFonts w:cs="Calibri (Corpo)"/>
      <w:bCs/>
      <w:szCs w:val="22"/>
    </w:rPr>
  </w:style>
  <w:style w:type="paragraph" w:styleId="Sommario2">
    <w:name w:val="toc 2"/>
    <w:basedOn w:val="Normale"/>
    <w:next w:val="Normale"/>
    <w:autoRedefine/>
    <w:uiPriority w:val="39"/>
    <w:unhideWhenUsed/>
    <w:rsid w:val="00F8628F"/>
    <w:pPr>
      <w:tabs>
        <w:tab w:val="left" w:pos="7938"/>
      </w:tabs>
      <w:spacing w:before="60" w:after="60" w:line="276" w:lineRule="auto"/>
      <w:ind w:left="709" w:right="1701" w:hanging="425"/>
    </w:pPr>
    <w:rPr>
      <w:rFonts w:cs="Calibri (Corpo)"/>
      <w:bCs/>
      <w:sz w:val="20"/>
      <w:szCs w:val="22"/>
    </w:rPr>
  </w:style>
  <w:style w:type="paragraph" w:styleId="Sommario3">
    <w:name w:val="toc 3"/>
    <w:basedOn w:val="Normale"/>
    <w:next w:val="Normale"/>
    <w:autoRedefine/>
    <w:uiPriority w:val="39"/>
    <w:unhideWhenUsed/>
    <w:rsid w:val="00492BD1"/>
    <w:pPr>
      <w:tabs>
        <w:tab w:val="right" w:pos="9070"/>
      </w:tabs>
      <w:spacing w:after="0"/>
      <w:ind w:left="709" w:right="565" w:hanging="709"/>
    </w:pPr>
    <w:rPr>
      <w:rFonts w:cs="Calibri (Corpo)"/>
      <w:b/>
      <w:caps/>
      <w:szCs w:val="22"/>
    </w:rPr>
  </w:style>
  <w:style w:type="paragraph" w:styleId="Testonotaapidipagina">
    <w:name w:val="footnote text"/>
    <w:basedOn w:val="Normale"/>
    <w:link w:val="TestonotaapidipaginaCarattere"/>
    <w:uiPriority w:val="99"/>
    <w:semiHidden/>
    <w:unhideWhenUsed/>
    <w:rsid w:val="008532B5"/>
    <w:pPr>
      <w:spacing w:after="0" w:line="240" w:lineRule="auto"/>
    </w:pPr>
    <w:rPr>
      <w:color w:val="595959" w:themeColor="text1" w:themeTint="A6"/>
      <w:sz w:val="20"/>
      <w:szCs w:val="20"/>
    </w:rPr>
  </w:style>
  <w:style w:type="paragraph" w:customStyle="1" w:styleId="TipoDocumento">
    <w:name w:val="Tipo Documento"/>
    <w:basedOn w:val="Normale"/>
    <w:qFormat/>
    <w:rsid w:val="00B96B24"/>
    <w:pPr>
      <w:spacing w:line="240" w:lineRule="auto"/>
    </w:pPr>
    <w:rPr>
      <w:rFonts w:cs="Times New Roman (Corpo CS)"/>
      <w:b/>
      <w:bCs/>
      <w:caps/>
      <w:spacing w:val="20"/>
      <w:sz w:val="20"/>
    </w:rPr>
  </w:style>
  <w:style w:type="paragraph" w:customStyle="1" w:styleId="Copertina-Autori">
    <w:name w:val="Copertina - Autori"/>
    <w:basedOn w:val="Normale"/>
    <w:qFormat/>
    <w:rsid w:val="00B96B24"/>
    <w:pPr>
      <w:spacing w:after="120"/>
    </w:pPr>
    <w:rPr>
      <w:rFonts w:eastAsia="Calibri" w:cs="Times New Roman (Corpo CS)"/>
      <w:b/>
      <w:bCs/>
      <w:color w:val="FFFFFF" w:themeColor="background1"/>
      <w:sz w:val="26"/>
      <w:szCs w:val="28"/>
    </w:rPr>
  </w:style>
  <w:style w:type="paragraph" w:customStyle="1" w:styleId="TitoloDocumento">
    <w:name w:val="Titolo Documento"/>
    <w:basedOn w:val="Normale"/>
    <w:qFormat/>
    <w:rsid w:val="00067324"/>
    <w:pPr>
      <w:spacing w:after="0" w:line="240" w:lineRule="auto"/>
    </w:pPr>
    <w:rPr>
      <w:rFonts w:eastAsia="Calibri" w:cs="Calibri"/>
      <w:b/>
      <w:smallCaps/>
      <w:color w:val="FFFFFF" w:themeColor="background1"/>
      <w:sz w:val="72"/>
      <w:szCs w:val="72"/>
    </w:rPr>
  </w:style>
  <w:style w:type="paragraph" w:customStyle="1" w:styleId="Titolononnumerato">
    <w:name w:val="Titolo non numerato"/>
    <w:basedOn w:val="Titolo1"/>
    <w:qFormat/>
    <w:rsid w:val="005601B4"/>
    <w:pPr>
      <w:numPr>
        <w:numId w:val="0"/>
      </w:numPr>
      <w:spacing w:before="600"/>
      <w:ind w:left="357" w:hanging="357"/>
    </w:pPr>
    <w:rPr>
      <w:caps/>
    </w:rPr>
  </w:style>
  <w:style w:type="paragraph" w:styleId="Sommario4">
    <w:name w:val="toc 4"/>
    <w:basedOn w:val="Normale"/>
    <w:next w:val="Normale"/>
    <w:autoRedefine/>
    <w:uiPriority w:val="39"/>
    <w:unhideWhenUsed/>
    <w:rsid w:val="00F8628F"/>
    <w:pPr>
      <w:tabs>
        <w:tab w:val="left" w:pos="7938"/>
      </w:tabs>
      <w:spacing w:before="240" w:after="120" w:line="276" w:lineRule="auto"/>
    </w:pPr>
    <w:rPr>
      <w:rFonts w:cstheme="minorHAnsi"/>
      <w:b/>
      <w:smallCaps/>
      <w:szCs w:val="22"/>
    </w:rPr>
  </w:style>
  <w:style w:type="paragraph" w:styleId="Sommario5">
    <w:name w:val="toc 5"/>
    <w:basedOn w:val="Normale"/>
    <w:next w:val="Normale"/>
    <w:autoRedefine/>
    <w:uiPriority w:val="39"/>
    <w:unhideWhenUsed/>
    <w:rsid w:val="00067324"/>
    <w:pPr>
      <w:spacing w:after="0"/>
    </w:pPr>
    <w:rPr>
      <w:rFonts w:cstheme="minorHAnsi"/>
      <w:szCs w:val="22"/>
    </w:rPr>
  </w:style>
  <w:style w:type="paragraph" w:styleId="Sommario6">
    <w:name w:val="toc 6"/>
    <w:basedOn w:val="Normale"/>
    <w:next w:val="Normale"/>
    <w:autoRedefine/>
    <w:uiPriority w:val="39"/>
    <w:unhideWhenUsed/>
    <w:rsid w:val="00067324"/>
    <w:pPr>
      <w:spacing w:after="0"/>
    </w:pPr>
    <w:rPr>
      <w:rFonts w:cstheme="minorHAnsi"/>
      <w:szCs w:val="22"/>
    </w:rPr>
  </w:style>
  <w:style w:type="paragraph" w:styleId="Sommario7">
    <w:name w:val="toc 7"/>
    <w:basedOn w:val="Normale"/>
    <w:next w:val="Normale"/>
    <w:autoRedefine/>
    <w:uiPriority w:val="39"/>
    <w:unhideWhenUsed/>
    <w:rsid w:val="00067324"/>
    <w:pPr>
      <w:spacing w:after="0"/>
    </w:pPr>
    <w:rPr>
      <w:rFonts w:cstheme="minorHAnsi"/>
      <w:szCs w:val="22"/>
    </w:rPr>
  </w:style>
  <w:style w:type="paragraph" w:styleId="Sommario8">
    <w:name w:val="toc 8"/>
    <w:basedOn w:val="Normale"/>
    <w:next w:val="Normale"/>
    <w:autoRedefine/>
    <w:uiPriority w:val="39"/>
    <w:unhideWhenUsed/>
    <w:rsid w:val="00067324"/>
    <w:pPr>
      <w:spacing w:after="0"/>
    </w:pPr>
    <w:rPr>
      <w:rFonts w:cstheme="minorHAnsi"/>
      <w:szCs w:val="22"/>
    </w:rPr>
  </w:style>
  <w:style w:type="paragraph" w:styleId="Sommario9">
    <w:name w:val="toc 9"/>
    <w:basedOn w:val="Normale"/>
    <w:next w:val="Normale"/>
    <w:autoRedefine/>
    <w:uiPriority w:val="39"/>
    <w:unhideWhenUsed/>
    <w:rsid w:val="00067324"/>
    <w:pPr>
      <w:spacing w:after="0"/>
    </w:pPr>
    <w:rPr>
      <w:rFonts w:cstheme="minorHAnsi"/>
      <w:szCs w:val="22"/>
    </w:rPr>
  </w:style>
  <w:style w:type="paragraph" w:styleId="NormaleWeb">
    <w:name w:val="Normal (Web)"/>
    <w:basedOn w:val="Normale"/>
    <w:uiPriority w:val="99"/>
    <w:semiHidden/>
    <w:unhideWhenUsed/>
    <w:qFormat/>
    <w:rsid w:val="00067324"/>
    <w:pPr>
      <w:spacing w:beforeAutospacing="1" w:afterAutospacing="1" w:line="240" w:lineRule="auto"/>
    </w:pPr>
    <w:rPr>
      <w:rFonts w:ascii="Times New Roman" w:eastAsia="Times New Roman" w:hAnsi="Times New Roman" w:cs="Times New Roman"/>
      <w:sz w:val="24"/>
      <w:szCs w:val="24"/>
      <w:lang w:eastAsia="it-IT"/>
    </w:rPr>
  </w:style>
  <w:style w:type="paragraph" w:styleId="Paragrafoelenco">
    <w:name w:val="List Paragraph"/>
    <w:basedOn w:val="Normale"/>
    <w:uiPriority w:val="34"/>
    <w:qFormat/>
    <w:rsid w:val="005601B4"/>
    <w:pPr>
      <w:spacing w:after="160" w:line="257" w:lineRule="auto"/>
      <w:ind w:left="720"/>
      <w:contextualSpacing/>
      <w:jc w:val="left"/>
    </w:pPr>
    <w:rPr>
      <w:rFonts w:eastAsiaTheme="minorHAnsi"/>
      <w:szCs w:val="22"/>
    </w:rPr>
  </w:style>
  <w:style w:type="paragraph" w:styleId="Testocommento">
    <w:name w:val="annotation text"/>
    <w:basedOn w:val="Normale"/>
    <w:link w:val="TestocommentoCarattere"/>
    <w:uiPriority w:val="99"/>
    <w:unhideWhenUsed/>
    <w:rsid w:val="005601B4"/>
    <w:pPr>
      <w:spacing w:after="160" w:line="240" w:lineRule="auto"/>
      <w:jc w:val="left"/>
    </w:pPr>
    <w:rPr>
      <w:sz w:val="20"/>
      <w:szCs w:val="20"/>
      <w:lang w:eastAsia="it-IT"/>
    </w:rPr>
  </w:style>
  <w:style w:type="paragraph" w:styleId="Testofumetto">
    <w:name w:val="Balloon Text"/>
    <w:basedOn w:val="Normale"/>
    <w:link w:val="TestofumettoCarattere"/>
    <w:uiPriority w:val="99"/>
    <w:semiHidden/>
    <w:unhideWhenUsed/>
    <w:qFormat/>
    <w:rsid w:val="00944B2E"/>
    <w:pPr>
      <w:spacing w:after="0" w:line="240" w:lineRule="auto"/>
    </w:pPr>
    <w:rPr>
      <w:rFonts w:ascii="Tahoma" w:hAnsi="Tahoma" w:cs="Tahoma"/>
      <w:sz w:val="16"/>
      <w:szCs w:val="16"/>
    </w:rPr>
  </w:style>
  <w:style w:type="paragraph" w:styleId="Revisione">
    <w:name w:val="Revision"/>
    <w:uiPriority w:val="99"/>
    <w:semiHidden/>
    <w:qFormat/>
    <w:rsid w:val="00C31807"/>
    <w:rPr>
      <w:rFonts w:ascii="Calibri" w:hAnsi="Calibri"/>
      <w:color w:val="404040" w:themeColor="text1" w:themeTint="BF"/>
      <w:sz w:val="22"/>
    </w:rPr>
  </w:style>
  <w:style w:type="paragraph" w:styleId="Soggettocommento">
    <w:name w:val="annotation subject"/>
    <w:basedOn w:val="Testocommento"/>
    <w:next w:val="Testocommento"/>
    <w:link w:val="SoggettocommentoCarattere"/>
    <w:uiPriority w:val="99"/>
    <w:semiHidden/>
    <w:unhideWhenUsed/>
    <w:qFormat/>
    <w:rsid w:val="00BD2BB1"/>
    <w:pPr>
      <w:spacing w:after="200"/>
      <w:jc w:val="both"/>
    </w:pPr>
    <w:rPr>
      <w:b/>
      <w:bCs/>
      <w:lang w:eastAsia="en-US"/>
    </w:rPr>
  </w:style>
  <w:style w:type="paragraph" w:customStyle="1" w:styleId="Standard10">
    <w:name w:val="Standard_10"/>
    <w:qFormat/>
    <w:rsid w:val="005654DB"/>
    <w:rPr>
      <w:rFonts w:ascii="Liberation Serif" w:eastAsia="SimSun" w:hAnsi="Liberation Serif" w:cs="Lucida Sans"/>
      <w:sz w:val="24"/>
      <w:szCs w:val="24"/>
      <w:lang w:eastAsia="it-IT"/>
    </w:rPr>
  </w:style>
  <w:style w:type="paragraph" w:customStyle="1" w:styleId="Standard">
    <w:name w:val="Standard"/>
    <w:qFormat/>
    <w:rsid w:val="00745511"/>
    <w:pPr>
      <w:spacing w:after="200" w:line="312" w:lineRule="auto"/>
      <w:jc w:val="both"/>
      <w:textAlignment w:val="baseline"/>
    </w:pPr>
    <w:rPr>
      <w:rFonts w:ascii="Calibri" w:eastAsia="SimSun" w:hAnsi="Calibri" w:cs="Tahoma"/>
      <w:color w:val="404040"/>
      <w:kern w:val="2"/>
      <w:sz w:val="22"/>
    </w:rPr>
  </w:style>
  <w:style w:type="paragraph" w:customStyle="1" w:styleId="Contenutocornice">
    <w:name w:val="Contenuto cornice"/>
    <w:basedOn w:val="Normale"/>
    <w:qFormat/>
  </w:style>
  <w:style w:type="numbering" w:customStyle="1" w:styleId="Elencocorrente1">
    <w:name w:val="Elenco corrente1"/>
    <w:uiPriority w:val="99"/>
    <w:qFormat/>
    <w:rsid w:val="00067324"/>
  </w:style>
  <w:style w:type="table" w:styleId="Grigliatabella">
    <w:name w:val="Table Grid"/>
    <w:basedOn w:val="Tabellanormale"/>
    <w:uiPriority w:val="39"/>
    <w:rsid w:val="00216B76"/>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07/relationships/hdphoto" Target="media/hdphoto1.wdp"/><Relationship Id="rId18" Type="http://schemas.openxmlformats.org/officeDocument/2006/relationships/header" Target="header2.xml"/><Relationship Id="rId26" Type="http://schemas.openxmlformats.org/officeDocument/2006/relationships/header" Target="header6.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1.xml"/><Relationship Id="rId25" Type="http://schemas.openxmlformats.org/officeDocument/2006/relationships/footer" Target="footer7.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3.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footer" Target="footer6.xml"/><Relationship Id="rId5" Type="http://schemas.openxmlformats.org/officeDocument/2006/relationships/numbering" Target="numbering.xml"/><Relationship Id="rId15" Type="http://schemas.openxmlformats.org/officeDocument/2006/relationships/footer" Target="footer2.xml"/><Relationship Id="rId23" Type="http://schemas.openxmlformats.org/officeDocument/2006/relationships/header" Target="header5.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4.xml"/><Relationship Id="rId27" Type="http://schemas.openxmlformats.org/officeDocument/2006/relationships/footer" Target="footer8.xml"/></Relationships>
</file>

<file path=word/theme/theme1.xml><?xml version="1.0" encoding="utf-8"?>
<a:theme xmlns:a="http://schemas.openxmlformats.org/drawingml/2006/main" name="Tema di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a2ba1fa-559d-4c3c-83b6-0451cadb29a5">
      <Terms xmlns="http://schemas.microsoft.com/office/infopath/2007/PartnerControls"/>
    </lcf76f155ced4ddcb4097134ff3c332f>
    <collegati xmlns="5a2ba1fa-559d-4c3c-83b6-0451cadb29a5">
      <UserInfo>
        <DisplayName/>
        <AccountId xsi:nil="true"/>
        <AccountType/>
      </UserInfo>
    </collegati>
    <TaxCatchAll xmlns="25ac2abd-8607-4000-bac3-714b562db7e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D71E62EF600EF24D837A6529108A308E" ma:contentTypeVersion="19" ma:contentTypeDescription="Creare un nuovo documento." ma:contentTypeScope="" ma:versionID="4a659583600339b95ff03cb2696f48df">
  <xsd:schema xmlns:xsd="http://www.w3.org/2001/XMLSchema" xmlns:xs="http://www.w3.org/2001/XMLSchema" xmlns:p="http://schemas.microsoft.com/office/2006/metadata/properties" xmlns:ns2="5a2ba1fa-559d-4c3c-83b6-0451cadb29a5" xmlns:ns3="25ac2abd-8607-4000-bac3-714b562db7e6" targetNamespace="http://schemas.microsoft.com/office/2006/metadata/properties" ma:root="true" ma:fieldsID="d388a4e1f698d5922727780ebfe946e9" ns2:_="" ns3:_="">
    <xsd:import namespace="5a2ba1fa-559d-4c3c-83b6-0451cadb29a5"/>
    <xsd:import namespace="25ac2abd-8607-4000-bac3-714b562db7e6"/>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AutoKeyPoints" minOccurs="0"/>
                <xsd:element ref="ns2:MediaServiceKeyPoints" minOccurs="0"/>
                <xsd:element ref="ns2:MediaServiceLocation" minOccurs="0"/>
                <xsd:element ref="ns3:SharedWithUsers" minOccurs="0"/>
                <xsd:element ref="ns3:SharedWithDetails" minOccurs="0"/>
                <xsd:element ref="ns2:MediaLengthInSeconds" minOccurs="0"/>
                <xsd:element ref="ns2:collegati"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a2ba1fa-559d-4c3c-83b6-0451cadb29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collegati" ma:index="21" nillable="true" ma:displayName="collegati" ma:format="Dropdown" ma:list="UserInfo" ma:SharePointGroup="0" ma:internalName="collegati">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lcf76f155ced4ddcb4097134ff3c332f" ma:index="23" nillable="true" ma:taxonomy="true" ma:internalName="lcf76f155ced4ddcb4097134ff3c332f" ma:taxonomyFieldName="MediaServiceImageTags" ma:displayName="Tag immagine" ma:readOnly="false" ma:fieldId="{5cf76f15-5ced-4ddc-b409-7134ff3c332f}" ma:taxonomyMulti="true" ma:sspId="779b95b0-a76d-49fd-a05c-f853142caf8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5ac2abd-8607-4000-bac3-714b562db7e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TaxCatchAll" ma:index="24" nillable="true" ma:displayName="Taxonomy Catch All Column" ma:hidden="true" ma:list="{7a46c862-3bd0-41a1-a6cc-6303a5d48ecb}" ma:internalName="TaxCatchAll" ma:showField="CatchAllData" ma:web="25ac2abd-8607-4000-bac3-714b562db7e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51924D-C730-4885-A0F0-48B00BB1F783}">
  <ds:schemaRefs>
    <ds:schemaRef ds:uri="http://www.w3.org/XML/1998/namespace"/>
    <ds:schemaRef ds:uri="5a2ba1fa-559d-4c3c-83b6-0451cadb29a5"/>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25ac2abd-8607-4000-bac3-714b562db7e6"/>
    <ds:schemaRef ds:uri="http://schemas.microsoft.com/office/2006/metadata/properties"/>
    <ds:schemaRef ds:uri="http://purl.org/dc/dcmitype/"/>
  </ds:schemaRefs>
</ds:datastoreItem>
</file>

<file path=customXml/itemProps2.xml><?xml version="1.0" encoding="utf-8"?>
<ds:datastoreItem xmlns:ds="http://schemas.openxmlformats.org/officeDocument/2006/customXml" ds:itemID="{67133A5F-9241-4A19-8E07-C46F3B219F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a2ba1fa-559d-4c3c-83b6-0451cadb29a5"/>
    <ds:schemaRef ds:uri="25ac2abd-8607-4000-bac3-714b562db7e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30C4CC2-6B2C-40A0-BF6C-225BB6EA3644}">
  <ds:schemaRefs>
    <ds:schemaRef ds:uri="http://schemas.microsoft.com/sharepoint/v3/contenttype/forms"/>
  </ds:schemaRefs>
</ds:datastoreItem>
</file>

<file path=customXml/itemProps4.xml><?xml version="1.0" encoding="utf-8"?>
<ds:datastoreItem xmlns:ds="http://schemas.openxmlformats.org/officeDocument/2006/customXml" ds:itemID="{151F8BC0-3852-428F-BB0C-5B78841BEF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15</Pages>
  <Words>5312</Words>
  <Characters>30285</Characters>
  <Application>Microsoft Office Word</Application>
  <DocSecurity>0</DocSecurity>
  <Lines>252</Lines>
  <Paragraphs>71</Paragraphs>
  <ScaleCrop>false</ScaleCrop>
  <Company/>
  <LinksUpToDate>false</LinksUpToDate>
  <CharactersWithSpaces>35526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D'Elia</dc:creator>
  <dc:description/>
  <cp:lastModifiedBy>BITONTO MARIA</cp:lastModifiedBy>
  <cp:revision>43</cp:revision>
  <cp:lastPrinted>2025-09-01T08:17:00Z</cp:lastPrinted>
  <dcterms:created xsi:type="dcterms:W3CDTF">2025-09-02T08:00:00Z</dcterms:created>
  <dcterms:modified xsi:type="dcterms:W3CDTF">2025-09-09T10:18:00Z</dcterms:modified>
  <dc:language>it-IT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0x010100D71E62EF600EF24D837A6529108A308E</vt:lpwstr>
  </property>
</Properties>
</file>